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7BD" w:rsidRPr="009727BD" w:rsidRDefault="009727BD" w:rsidP="009727BD">
      <w:pPr>
        <w:jc w:val="center"/>
        <w:rPr>
          <w:rFonts w:cs="Arial"/>
          <w:b/>
          <w:bCs/>
          <w:lang w:val="ro-RO"/>
        </w:rPr>
      </w:pPr>
      <w:r w:rsidRPr="009727BD">
        <w:rPr>
          <w:rFonts w:cs="Arial"/>
          <w:b/>
          <w:bCs/>
          <w:lang w:val="ro-RO"/>
        </w:rPr>
        <w:t xml:space="preserve">                                                                                APROB,</w:t>
      </w:r>
    </w:p>
    <w:p w:rsidR="009727BD" w:rsidRPr="009727BD" w:rsidRDefault="009727BD" w:rsidP="009727BD">
      <w:pPr>
        <w:ind w:left="0"/>
        <w:rPr>
          <w:rFonts w:cs="Arial"/>
          <w:b/>
          <w:bCs/>
          <w:lang w:val="ro-RO"/>
        </w:rPr>
      </w:pPr>
      <w:r w:rsidRPr="009727BD">
        <w:rPr>
          <w:rFonts w:cs="Arial"/>
          <w:b/>
          <w:bCs/>
          <w:lang w:val="ro-RO"/>
        </w:rPr>
        <w:t xml:space="preserve">                </w:t>
      </w:r>
    </w:p>
    <w:p w:rsidR="009727BD" w:rsidRPr="009727BD" w:rsidRDefault="009727BD" w:rsidP="009727BD">
      <w:pPr>
        <w:jc w:val="center"/>
        <w:rPr>
          <w:rFonts w:cs="Arial"/>
          <w:b/>
          <w:bCs/>
          <w:lang w:val="ro-RO"/>
        </w:rPr>
      </w:pPr>
      <w:r w:rsidRPr="009727BD">
        <w:rPr>
          <w:rFonts w:cs="Arial"/>
          <w:b/>
          <w:bCs/>
          <w:lang w:val="ro-RO"/>
        </w:rPr>
        <w:tab/>
      </w:r>
      <w:r w:rsidRPr="009727BD">
        <w:rPr>
          <w:rFonts w:cs="Arial"/>
          <w:b/>
          <w:bCs/>
          <w:lang w:val="ro-RO"/>
        </w:rPr>
        <w:tab/>
      </w:r>
      <w:r w:rsidRPr="009727BD">
        <w:rPr>
          <w:rFonts w:cs="Arial"/>
          <w:b/>
          <w:bCs/>
          <w:lang w:val="ro-RO"/>
        </w:rPr>
        <w:tab/>
      </w:r>
      <w:r w:rsidRPr="009727BD">
        <w:rPr>
          <w:rFonts w:cs="Arial"/>
          <w:b/>
          <w:bCs/>
          <w:lang w:val="ro-RO"/>
        </w:rPr>
        <w:tab/>
      </w:r>
      <w:r w:rsidRPr="009727BD">
        <w:rPr>
          <w:rFonts w:cs="Arial"/>
          <w:b/>
          <w:bCs/>
          <w:lang w:val="ro-RO"/>
        </w:rPr>
        <w:tab/>
      </w:r>
      <w:r w:rsidRPr="009727BD">
        <w:rPr>
          <w:rFonts w:cs="Arial"/>
          <w:b/>
          <w:bCs/>
          <w:lang w:val="ro-RO"/>
        </w:rPr>
        <w:tab/>
      </w:r>
      <w:r w:rsidRPr="009727BD">
        <w:rPr>
          <w:rFonts w:cs="Arial"/>
          <w:b/>
          <w:bCs/>
          <w:lang w:val="ro-RO"/>
        </w:rPr>
        <w:tab/>
        <w:t xml:space="preserve">Cătălin – Marian </w:t>
      </w:r>
      <w:proofErr w:type="spellStart"/>
      <w:r w:rsidRPr="009727BD">
        <w:rPr>
          <w:rFonts w:cs="Arial"/>
          <w:b/>
          <w:bCs/>
          <w:lang w:val="ro-RO"/>
        </w:rPr>
        <w:t>Predoiu</w:t>
      </w:r>
      <w:proofErr w:type="spellEnd"/>
    </w:p>
    <w:p w:rsidR="009727BD" w:rsidRPr="009727BD" w:rsidRDefault="009727BD" w:rsidP="009727BD">
      <w:pPr>
        <w:jc w:val="center"/>
        <w:rPr>
          <w:rFonts w:cs="Arial"/>
          <w:b/>
          <w:bCs/>
          <w:lang w:val="ro-RO"/>
        </w:rPr>
      </w:pPr>
    </w:p>
    <w:p w:rsidR="009727BD" w:rsidRPr="009727BD" w:rsidRDefault="009727BD" w:rsidP="009727BD">
      <w:pPr>
        <w:ind w:left="4956" w:firstLine="708"/>
        <w:jc w:val="center"/>
        <w:rPr>
          <w:rFonts w:cs="Arial"/>
          <w:lang w:val="ro-RO"/>
        </w:rPr>
      </w:pPr>
      <w:r w:rsidRPr="009727BD">
        <w:rPr>
          <w:rFonts w:cs="Arial"/>
          <w:b/>
          <w:bCs/>
          <w:lang w:val="ro-RO"/>
        </w:rPr>
        <w:t xml:space="preserve">               Ministrul Justiției</w:t>
      </w:r>
    </w:p>
    <w:p w:rsidR="009727BD" w:rsidRDefault="009727BD" w:rsidP="009727BD">
      <w:pPr>
        <w:ind w:left="0"/>
        <w:jc w:val="center"/>
        <w:rPr>
          <w:b/>
          <w:lang w:val="ro-RO"/>
        </w:rPr>
      </w:pPr>
    </w:p>
    <w:p w:rsidR="009727BD" w:rsidRPr="009727BD" w:rsidRDefault="009727BD" w:rsidP="009727BD">
      <w:pPr>
        <w:ind w:left="0"/>
        <w:jc w:val="center"/>
        <w:rPr>
          <w:b/>
          <w:lang w:val="ro-RO"/>
        </w:rPr>
      </w:pPr>
      <w:r w:rsidRPr="009727BD">
        <w:rPr>
          <w:b/>
          <w:lang w:val="ro-RO"/>
        </w:rPr>
        <w:t xml:space="preserve">REFERAT DE APROBARE </w:t>
      </w:r>
      <w:r w:rsidRPr="009727BD">
        <w:rPr>
          <w:rFonts w:cs="Arial"/>
          <w:b/>
          <w:bCs/>
          <w:lang w:val="ro-RO"/>
        </w:rPr>
        <w:t xml:space="preserve">    </w:t>
      </w:r>
    </w:p>
    <w:p w:rsidR="009727BD" w:rsidRPr="009727BD" w:rsidRDefault="009727BD" w:rsidP="009727BD">
      <w:pPr>
        <w:rPr>
          <w:rFonts w:cs="Arial"/>
          <w:lang w:val="ro-RO"/>
        </w:rPr>
      </w:pPr>
      <w:r w:rsidRPr="009727BD">
        <w:rPr>
          <w:rFonts w:cs="Arial"/>
          <w:lang w:val="ro-RO"/>
        </w:rPr>
        <w:tab/>
      </w:r>
    </w:p>
    <w:p w:rsidR="009727BD" w:rsidRPr="009727BD" w:rsidRDefault="009727BD" w:rsidP="009727BD">
      <w:pPr>
        <w:ind w:left="-851"/>
        <w:rPr>
          <w:rFonts w:cs="Arial"/>
          <w:lang w:val="ro-RO"/>
        </w:rPr>
      </w:pPr>
      <w:r w:rsidRPr="009727BD">
        <w:rPr>
          <w:rFonts w:cs="Arial"/>
          <w:lang w:val="ro-RO"/>
        </w:rPr>
        <w:t xml:space="preserve">În acord cu prevederile art. 19 alin. (8) din Legea nr. 129/2019 pentru prevenirea </w:t>
      </w:r>
      <w:proofErr w:type="spellStart"/>
      <w:r w:rsidRPr="009727BD">
        <w:rPr>
          <w:rFonts w:cs="Arial"/>
          <w:lang w:val="ro-RO"/>
        </w:rPr>
        <w:t>şi</w:t>
      </w:r>
      <w:proofErr w:type="spellEnd"/>
      <w:r w:rsidRPr="009727BD">
        <w:rPr>
          <w:rFonts w:cs="Arial"/>
          <w:lang w:val="ro-RO"/>
        </w:rPr>
        <w:t xml:space="preserve"> combaterea spălării banilor </w:t>
      </w:r>
      <w:proofErr w:type="spellStart"/>
      <w:r w:rsidRPr="009727BD">
        <w:rPr>
          <w:rFonts w:cs="Arial"/>
          <w:lang w:val="ro-RO"/>
        </w:rPr>
        <w:t>şi</w:t>
      </w:r>
      <w:proofErr w:type="spellEnd"/>
      <w:r w:rsidRPr="009727BD">
        <w:rPr>
          <w:rFonts w:cs="Arial"/>
          <w:lang w:val="ro-RO"/>
        </w:rPr>
        <w:t xml:space="preserve"> </w:t>
      </w:r>
      <w:r w:rsidR="009D7209" w:rsidRPr="009727BD">
        <w:rPr>
          <w:rFonts w:cs="Arial"/>
          <w:lang w:val="ro-RO"/>
        </w:rPr>
        <w:t>finanțării</w:t>
      </w:r>
      <w:r w:rsidRPr="009727BD">
        <w:rPr>
          <w:rFonts w:cs="Arial"/>
          <w:lang w:val="ro-RO"/>
        </w:rPr>
        <w:t xml:space="preserve"> terorismului, precum </w:t>
      </w:r>
      <w:proofErr w:type="spellStart"/>
      <w:r w:rsidRPr="009727BD">
        <w:rPr>
          <w:rFonts w:cs="Arial"/>
          <w:lang w:val="ro-RO"/>
        </w:rPr>
        <w:t>şi</w:t>
      </w:r>
      <w:proofErr w:type="spellEnd"/>
      <w:r w:rsidRPr="009727BD">
        <w:rPr>
          <w:rFonts w:cs="Arial"/>
          <w:lang w:val="ro-RO"/>
        </w:rPr>
        <w:t xml:space="preserve"> pentru modificarea </w:t>
      </w:r>
      <w:proofErr w:type="spellStart"/>
      <w:r w:rsidRPr="009727BD">
        <w:rPr>
          <w:rFonts w:cs="Arial"/>
          <w:lang w:val="ro-RO"/>
        </w:rPr>
        <w:t>şi</w:t>
      </w:r>
      <w:proofErr w:type="spellEnd"/>
      <w:r w:rsidRPr="009727BD">
        <w:rPr>
          <w:rFonts w:cs="Arial"/>
          <w:lang w:val="ro-RO"/>
        </w:rPr>
        <w:t xml:space="preserve"> completarea unor acte normative, astfel cum a fost modificat de Ordonanța de urgență a Guvernului nr. 111/2020 privind modificarea </w:t>
      </w:r>
      <w:proofErr w:type="spellStart"/>
      <w:r w:rsidRPr="009727BD">
        <w:rPr>
          <w:rFonts w:cs="Arial"/>
          <w:lang w:val="ro-RO"/>
        </w:rPr>
        <w:t>şi</w:t>
      </w:r>
      <w:proofErr w:type="spellEnd"/>
      <w:r w:rsidRPr="009727BD">
        <w:rPr>
          <w:rFonts w:cs="Arial"/>
          <w:lang w:val="ro-RO"/>
        </w:rPr>
        <w:t xml:space="preserve"> completarea Legii nr. 129/2019 pentru prevenirea </w:t>
      </w:r>
      <w:proofErr w:type="spellStart"/>
      <w:r w:rsidRPr="009727BD">
        <w:rPr>
          <w:rFonts w:cs="Arial"/>
          <w:lang w:val="ro-RO"/>
        </w:rPr>
        <w:t>şi</w:t>
      </w:r>
      <w:proofErr w:type="spellEnd"/>
      <w:r w:rsidRPr="009727BD">
        <w:rPr>
          <w:rFonts w:cs="Arial"/>
          <w:lang w:val="ro-RO"/>
        </w:rPr>
        <w:t xml:space="preserve"> combaterea spălării banilor </w:t>
      </w:r>
      <w:proofErr w:type="spellStart"/>
      <w:r w:rsidRPr="009727BD">
        <w:rPr>
          <w:rFonts w:cs="Arial"/>
          <w:lang w:val="ro-RO"/>
        </w:rPr>
        <w:t>şi</w:t>
      </w:r>
      <w:proofErr w:type="spellEnd"/>
      <w:r w:rsidRPr="009727BD">
        <w:rPr>
          <w:rFonts w:cs="Arial"/>
          <w:lang w:val="ro-RO"/>
        </w:rPr>
        <w:t xml:space="preserve"> </w:t>
      </w:r>
      <w:proofErr w:type="spellStart"/>
      <w:r w:rsidRPr="009727BD">
        <w:rPr>
          <w:rFonts w:cs="Arial"/>
          <w:lang w:val="ro-RO"/>
        </w:rPr>
        <w:t>finanţării</w:t>
      </w:r>
      <w:proofErr w:type="spellEnd"/>
      <w:r w:rsidRPr="009727BD">
        <w:rPr>
          <w:rFonts w:cs="Arial"/>
          <w:lang w:val="ro-RO"/>
        </w:rPr>
        <w:t xml:space="preserve"> terorismului, precum </w:t>
      </w:r>
      <w:proofErr w:type="spellStart"/>
      <w:r w:rsidRPr="009727BD">
        <w:rPr>
          <w:rFonts w:cs="Arial"/>
          <w:lang w:val="ro-RO"/>
        </w:rPr>
        <w:t>şi</w:t>
      </w:r>
      <w:proofErr w:type="spellEnd"/>
      <w:r w:rsidRPr="009727BD">
        <w:rPr>
          <w:rFonts w:cs="Arial"/>
          <w:lang w:val="ro-RO"/>
        </w:rPr>
        <w:t xml:space="preserve"> pentru modificarea </w:t>
      </w:r>
      <w:proofErr w:type="spellStart"/>
      <w:r w:rsidRPr="009727BD">
        <w:rPr>
          <w:rFonts w:cs="Arial"/>
          <w:lang w:val="ro-RO"/>
        </w:rPr>
        <w:t>şi</w:t>
      </w:r>
      <w:proofErr w:type="spellEnd"/>
      <w:r w:rsidRPr="009727BD">
        <w:rPr>
          <w:rFonts w:cs="Arial"/>
          <w:lang w:val="ro-RO"/>
        </w:rPr>
        <w:t xml:space="preserve"> completarea unor acte normative, pentru completarea art. 218 din </w:t>
      </w:r>
      <w:proofErr w:type="spellStart"/>
      <w:r w:rsidRPr="009727BD">
        <w:rPr>
          <w:rFonts w:cs="Arial"/>
          <w:lang w:val="ro-RO"/>
        </w:rPr>
        <w:t>Ordonanţa</w:t>
      </w:r>
      <w:proofErr w:type="spellEnd"/>
      <w:r w:rsidRPr="009727BD">
        <w:rPr>
          <w:rFonts w:cs="Arial"/>
          <w:lang w:val="ro-RO"/>
        </w:rPr>
        <w:t xml:space="preserve"> de </w:t>
      </w:r>
      <w:proofErr w:type="spellStart"/>
      <w:r w:rsidRPr="009727BD">
        <w:rPr>
          <w:rFonts w:cs="Arial"/>
          <w:lang w:val="ro-RO"/>
        </w:rPr>
        <w:t>urgenţă</w:t>
      </w:r>
      <w:proofErr w:type="spellEnd"/>
      <w:r w:rsidRPr="009727BD">
        <w:rPr>
          <w:rFonts w:cs="Arial"/>
          <w:lang w:val="ro-RO"/>
        </w:rPr>
        <w:t xml:space="preserve"> a Guvernului nr. 99/2006 privind </w:t>
      </w:r>
      <w:r w:rsidR="009D7209" w:rsidRPr="009727BD">
        <w:rPr>
          <w:rFonts w:cs="Arial"/>
          <w:lang w:val="ro-RO"/>
        </w:rPr>
        <w:t>instituțiile</w:t>
      </w:r>
      <w:r w:rsidRPr="009727BD">
        <w:rPr>
          <w:rFonts w:cs="Arial"/>
          <w:lang w:val="ro-RO"/>
        </w:rPr>
        <w:t xml:space="preserve"> de credit </w:t>
      </w:r>
      <w:proofErr w:type="spellStart"/>
      <w:r w:rsidRPr="009727BD">
        <w:rPr>
          <w:rFonts w:cs="Arial"/>
          <w:lang w:val="ro-RO"/>
        </w:rPr>
        <w:t>şi</w:t>
      </w:r>
      <w:proofErr w:type="spellEnd"/>
      <w:r w:rsidRPr="009727BD">
        <w:rPr>
          <w:rFonts w:cs="Arial"/>
          <w:lang w:val="ro-RO"/>
        </w:rPr>
        <w:t xml:space="preserve"> adecvarea capitalului, pentru modificarea </w:t>
      </w:r>
      <w:proofErr w:type="spellStart"/>
      <w:r w:rsidRPr="009727BD">
        <w:rPr>
          <w:rFonts w:cs="Arial"/>
          <w:lang w:val="ro-RO"/>
        </w:rPr>
        <w:t>şi</w:t>
      </w:r>
      <w:proofErr w:type="spellEnd"/>
      <w:r w:rsidRPr="009727BD">
        <w:rPr>
          <w:rFonts w:cs="Arial"/>
          <w:lang w:val="ro-RO"/>
        </w:rPr>
        <w:t xml:space="preserve"> completarea Legii nr. 207/2015 privind Codul de procedură fiscală, precum </w:t>
      </w:r>
      <w:proofErr w:type="spellStart"/>
      <w:r w:rsidRPr="009727BD">
        <w:rPr>
          <w:rFonts w:cs="Arial"/>
          <w:lang w:val="ro-RO"/>
        </w:rPr>
        <w:t>şi</w:t>
      </w:r>
      <w:proofErr w:type="spellEnd"/>
      <w:r w:rsidRPr="009727BD">
        <w:rPr>
          <w:rFonts w:cs="Arial"/>
          <w:lang w:val="ro-RO"/>
        </w:rPr>
        <w:t xml:space="preserve"> pentru completarea art. 12 alin. (5) din Legea nr. 237/2015 privind autorizarea </w:t>
      </w:r>
      <w:proofErr w:type="spellStart"/>
      <w:r w:rsidRPr="009727BD">
        <w:rPr>
          <w:rFonts w:cs="Arial"/>
          <w:lang w:val="ro-RO"/>
        </w:rPr>
        <w:t>şi</w:t>
      </w:r>
      <w:proofErr w:type="spellEnd"/>
      <w:r w:rsidRPr="009727BD">
        <w:rPr>
          <w:rFonts w:cs="Arial"/>
          <w:lang w:val="ro-RO"/>
        </w:rPr>
        <w:t xml:space="preserve"> supravegherea </w:t>
      </w:r>
      <w:proofErr w:type="spellStart"/>
      <w:r w:rsidRPr="009727BD">
        <w:rPr>
          <w:rFonts w:cs="Arial"/>
          <w:lang w:val="ro-RO"/>
        </w:rPr>
        <w:t>activităţii</w:t>
      </w:r>
      <w:proofErr w:type="spellEnd"/>
      <w:r w:rsidRPr="009727BD">
        <w:rPr>
          <w:rFonts w:cs="Arial"/>
          <w:lang w:val="ro-RO"/>
        </w:rPr>
        <w:t xml:space="preserve"> de asigurare </w:t>
      </w:r>
      <w:proofErr w:type="spellStart"/>
      <w:r w:rsidRPr="009727BD">
        <w:rPr>
          <w:rFonts w:cs="Arial"/>
          <w:lang w:val="ro-RO"/>
        </w:rPr>
        <w:t>şi</w:t>
      </w:r>
      <w:proofErr w:type="spellEnd"/>
      <w:r w:rsidRPr="009727BD">
        <w:rPr>
          <w:rFonts w:cs="Arial"/>
          <w:lang w:val="ro-RO"/>
        </w:rPr>
        <w:t xml:space="preserve"> reasigurare, accesul la registrul central al beneficiarilor reali prevăzut la alin. (5) lit. a) ( ținut de Oficiul Național al Registrului Comerțului - ONRC) este asigurat, în conformitate cu normele privind </w:t>
      </w:r>
      <w:proofErr w:type="spellStart"/>
      <w:r w:rsidRPr="009727BD">
        <w:rPr>
          <w:rFonts w:cs="Arial"/>
          <w:lang w:val="ro-RO"/>
        </w:rPr>
        <w:t>protecţia</w:t>
      </w:r>
      <w:proofErr w:type="spellEnd"/>
      <w:r w:rsidRPr="009727BD">
        <w:rPr>
          <w:rFonts w:cs="Arial"/>
          <w:lang w:val="ro-RO"/>
        </w:rPr>
        <w:t xml:space="preserve"> datelor cu caracter personal:</w:t>
      </w:r>
    </w:p>
    <w:p w:rsidR="009727BD" w:rsidRPr="009727BD" w:rsidRDefault="009727BD" w:rsidP="009727BD">
      <w:pPr>
        <w:ind w:left="-851" w:firstLine="851"/>
        <w:rPr>
          <w:rFonts w:cs="Arial"/>
          <w:lang w:val="ro-RO"/>
        </w:rPr>
      </w:pPr>
      <w:r w:rsidRPr="009727BD">
        <w:rPr>
          <w:rFonts w:cs="Arial"/>
          <w:lang w:val="ro-RO"/>
        </w:rPr>
        <w:t xml:space="preserve">a) </w:t>
      </w:r>
      <w:proofErr w:type="spellStart"/>
      <w:r w:rsidRPr="009727BD">
        <w:rPr>
          <w:rFonts w:cs="Arial"/>
          <w:lang w:val="ro-RO"/>
        </w:rPr>
        <w:t>autorităţilor</w:t>
      </w:r>
      <w:proofErr w:type="spellEnd"/>
      <w:r w:rsidRPr="009727BD">
        <w:rPr>
          <w:rFonts w:cs="Arial"/>
          <w:lang w:val="ro-RO"/>
        </w:rPr>
        <w:t xml:space="preserve"> care au </w:t>
      </w:r>
      <w:proofErr w:type="spellStart"/>
      <w:r w:rsidRPr="009727BD">
        <w:rPr>
          <w:rFonts w:cs="Arial"/>
          <w:lang w:val="ro-RO"/>
        </w:rPr>
        <w:t>competenţe</w:t>
      </w:r>
      <w:proofErr w:type="spellEnd"/>
      <w:r w:rsidRPr="009727BD">
        <w:rPr>
          <w:rFonts w:cs="Arial"/>
          <w:lang w:val="ro-RO"/>
        </w:rPr>
        <w:t xml:space="preserve"> de supraveghere </w:t>
      </w:r>
      <w:proofErr w:type="spellStart"/>
      <w:r w:rsidRPr="009727BD">
        <w:rPr>
          <w:rFonts w:cs="Arial"/>
          <w:lang w:val="ro-RO"/>
        </w:rPr>
        <w:t>şi</w:t>
      </w:r>
      <w:proofErr w:type="spellEnd"/>
      <w:r w:rsidRPr="009727BD">
        <w:rPr>
          <w:rFonts w:cs="Arial"/>
          <w:lang w:val="ro-RO"/>
        </w:rPr>
        <w:t xml:space="preserve"> control, organelor judiciare, în </w:t>
      </w:r>
      <w:proofErr w:type="spellStart"/>
      <w:r w:rsidRPr="009727BD">
        <w:rPr>
          <w:rFonts w:cs="Arial"/>
          <w:lang w:val="ro-RO"/>
        </w:rPr>
        <w:t>condiţiile</w:t>
      </w:r>
      <w:proofErr w:type="spellEnd"/>
      <w:r w:rsidRPr="009727BD">
        <w:rPr>
          <w:rFonts w:cs="Arial"/>
          <w:lang w:val="ro-RO"/>
        </w:rPr>
        <w:t xml:space="preserve"> Legii nr. 135/2010 privind Codul de procedură penală, cu modificările </w:t>
      </w:r>
      <w:proofErr w:type="spellStart"/>
      <w:r w:rsidRPr="009727BD">
        <w:rPr>
          <w:rFonts w:cs="Arial"/>
          <w:lang w:val="ro-RO"/>
        </w:rPr>
        <w:t>şi</w:t>
      </w:r>
      <w:proofErr w:type="spellEnd"/>
      <w:r w:rsidRPr="009727BD">
        <w:rPr>
          <w:rFonts w:cs="Arial"/>
          <w:lang w:val="ro-RO"/>
        </w:rPr>
        <w:t xml:space="preserve"> completările ulterioare, </w:t>
      </w:r>
      <w:proofErr w:type="spellStart"/>
      <w:r w:rsidRPr="009727BD">
        <w:rPr>
          <w:rFonts w:cs="Arial"/>
          <w:lang w:val="ro-RO"/>
        </w:rPr>
        <w:t>şi</w:t>
      </w:r>
      <w:proofErr w:type="spellEnd"/>
      <w:r w:rsidRPr="009727BD">
        <w:rPr>
          <w:rFonts w:cs="Arial"/>
          <w:lang w:val="ro-RO"/>
        </w:rPr>
        <w:t xml:space="preserve"> Oficiului</w:t>
      </w:r>
      <w:r w:rsidR="00B16F0A">
        <w:rPr>
          <w:rFonts w:cs="Arial"/>
          <w:lang w:val="ro-RO"/>
        </w:rPr>
        <w:t xml:space="preserve"> </w:t>
      </w:r>
      <w:proofErr w:type="spellStart"/>
      <w:r w:rsidR="00B16F0A">
        <w:rPr>
          <w:rFonts w:cs="Arial"/>
          <w:lang w:val="ro-RO"/>
        </w:rPr>
        <w:t>Naţional</w:t>
      </w:r>
      <w:proofErr w:type="spellEnd"/>
      <w:r w:rsidR="00B16F0A">
        <w:rPr>
          <w:rFonts w:cs="Arial"/>
          <w:lang w:val="ro-RO"/>
        </w:rPr>
        <w:t xml:space="preserve"> pentru Prevenirea </w:t>
      </w:r>
      <w:proofErr w:type="spellStart"/>
      <w:r w:rsidR="00B16F0A">
        <w:rPr>
          <w:rFonts w:cs="Arial"/>
          <w:lang w:val="ro-RO"/>
        </w:rPr>
        <w:t>şi</w:t>
      </w:r>
      <w:proofErr w:type="spellEnd"/>
      <w:r w:rsidR="00B16F0A">
        <w:rPr>
          <w:rFonts w:cs="Arial"/>
          <w:lang w:val="ro-RO"/>
        </w:rPr>
        <w:t xml:space="preserve"> Combaterea Spălării Banilor (ONPCSB)</w:t>
      </w:r>
      <w:r w:rsidRPr="009727BD">
        <w:rPr>
          <w:rFonts w:cs="Arial"/>
          <w:lang w:val="ro-RO"/>
        </w:rPr>
        <w:t xml:space="preserve">, în timp util, fără nicio </w:t>
      </w:r>
      <w:proofErr w:type="spellStart"/>
      <w:r w:rsidRPr="009727BD">
        <w:rPr>
          <w:rFonts w:cs="Arial"/>
          <w:lang w:val="ro-RO"/>
        </w:rPr>
        <w:t>restricţie</w:t>
      </w:r>
      <w:proofErr w:type="spellEnd"/>
      <w:r w:rsidRPr="009727BD">
        <w:rPr>
          <w:rFonts w:cs="Arial"/>
          <w:lang w:val="ro-RO"/>
        </w:rPr>
        <w:t xml:space="preserve"> </w:t>
      </w:r>
      <w:proofErr w:type="spellStart"/>
      <w:r w:rsidRPr="009727BD">
        <w:rPr>
          <w:rFonts w:cs="Arial"/>
          <w:lang w:val="ro-RO"/>
        </w:rPr>
        <w:t>şi</w:t>
      </w:r>
      <w:proofErr w:type="spellEnd"/>
      <w:r w:rsidRPr="009727BD">
        <w:rPr>
          <w:rFonts w:cs="Arial"/>
          <w:lang w:val="ro-RO"/>
        </w:rPr>
        <w:t xml:space="preserve"> fără a alerta persoana în cauză;</w:t>
      </w:r>
    </w:p>
    <w:p w:rsidR="009727BD" w:rsidRPr="009727BD" w:rsidRDefault="009727BD" w:rsidP="009727BD">
      <w:pPr>
        <w:ind w:left="-851" w:firstLine="851"/>
        <w:rPr>
          <w:rFonts w:cs="Arial"/>
          <w:lang w:val="ro-RO"/>
        </w:rPr>
      </w:pPr>
      <w:r w:rsidRPr="009727BD">
        <w:rPr>
          <w:rFonts w:cs="Arial"/>
          <w:lang w:val="ro-RO"/>
        </w:rPr>
        <w:t xml:space="preserve">b) </w:t>
      </w:r>
      <w:proofErr w:type="spellStart"/>
      <w:r w:rsidRPr="009727BD">
        <w:rPr>
          <w:rFonts w:cs="Arial"/>
          <w:lang w:val="ro-RO"/>
        </w:rPr>
        <w:t>entităţilor</w:t>
      </w:r>
      <w:proofErr w:type="spellEnd"/>
      <w:r w:rsidRPr="009727BD">
        <w:rPr>
          <w:rFonts w:cs="Arial"/>
          <w:lang w:val="ro-RO"/>
        </w:rPr>
        <w:t xml:space="preserve"> raportoare atunci când aplică măsurile de </w:t>
      </w:r>
      <w:proofErr w:type="spellStart"/>
      <w:r w:rsidRPr="009727BD">
        <w:rPr>
          <w:rFonts w:cs="Arial"/>
          <w:lang w:val="ro-RO"/>
        </w:rPr>
        <w:t>cunoaştere</w:t>
      </w:r>
      <w:proofErr w:type="spellEnd"/>
      <w:r w:rsidRPr="009727BD">
        <w:rPr>
          <w:rFonts w:cs="Arial"/>
          <w:lang w:val="ro-RO"/>
        </w:rPr>
        <w:t xml:space="preserve"> a clientelei;</w:t>
      </w:r>
    </w:p>
    <w:p w:rsidR="009727BD" w:rsidRPr="009727BD" w:rsidRDefault="009727BD" w:rsidP="009727BD">
      <w:pPr>
        <w:ind w:left="-851" w:firstLine="851"/>
        <w:rPr>
          <w:rFonts w:cs="Arial"/>
          <w:lang w:val="ro-RO"/>
        </w:rPr>
      </w:pPr>
      <w:r w:rsidRPr="009727BD">
        <w:rPr>
          <w:rFonts w:cs="Arial"/>
          <w:lang w:val="ro-RO"/>
        </w:rPr>
        <w:t>c) oricărei persoane fizice sau juridice.</w:t>
      </w:r>
    </w:p>
    <w:p w:rsidR="009727BD" w:rsidRPr="009727BD" w:rsidRDefault="009727BD" w:rsidP="009727BD">
      <w:pPr>
        <w:ind w:left="-851"/>
        <w:rPr>
          <w:rFonts w:cs="Arial"/>
          <w:lang w:val="ro-RO"/>
        </w:rPr>
      </w:pPr>
      <w:bookmarkStart w:id="0" w:name="_Hlk51672005"/>
      <w:r w:rsidRPr="009727BD">
        <w:rPr>
          <w:rFonts w:cs="Arial"/>
          <w:lang w:val="ro-RO"/>
        </w:rPr>
        <w:t xml:space="preserve">În conformitate cu </w:t>
      </w:r>
      <w:proofErr w:type="spellStart"/>
      <w:r w:rsidRPr="009727BD">
        <w:rPr>
          <w:rFonts w:cs="Arial"/>
          <w:lang w:val="ro-RO"/>
        </w:rPr>
        <w:t>dispoziţiile</w:t>
      </w:r>
      <w:proofErr w:type="spellEnd"/>
      <w:r w:rsidRPr="009727BD">
        <w:rPr>
          <w:rFonts w:cs="Arial"/>
          <w:lang w:val="ro-RO"/>
        </w:rPr>
        <w:t xml:space="preserve"> art. 19 alin. (8</w:t>
      </w:r>
      <w:r w:rsidRPr="009727BD">
        <w:rPr>
          <w:rFonts w:cs="Arial"/>
          <w:vertAlign w:val="superscript"/>
          <w:lang w:val="ro-RO"/>
        </w:rPr>
        <w:t>2</w:t>
      </w:r>
      <w:r w:rsidRPr="009727BD">
        <w:rPr>
          <w:rFonts w:cs="Arial"/>
          <w:lang w:val="ro-RO"/>
        </w:rPr>
        <w:t xml:space="preserve">)  din legea mai sus amintită, accesul la Registrul beneficiarilor reali ținut de ONRC este asigurat în conformitate cu normele privind </w:t>
      </w:r>
      <w:proofErr w:type="spellStart"/>
      <w:r w:rsidRPr="009727BD">
        <w:rPr>
          <w:rFonts w:cs="Arial"/>
          <w:lang w:val="ro-RO"/>
        </w:rPr>
        <w:t>protecţia</w:t>
      </w:r>
      <w:proofErr w:type="spellEnd"/>
      <w:r w:rsidRPr="009727BD">
        <w:rPr>
          <w:rFonts w:cs="Arial"/>
          <w:lang w:val="ro-RO"/>
        </w:rPr>
        <w:t xml:space="preserve"> datelor cu caracter personal, persoanelor fizice sau juridice </w:t>
      </w:r>
      <w:proofErr w:type="spellStart"/>
      <w:r w:rsidRPr="009727BD">
        <w:rPr>
          <w:rFonts w:cs="Arial"/>
          <w:lang w:val="ro-RO"/>
        </w:rPr>
        <w:t>îndreptăţite</w:t>
      </w:r>
      <w:proofErr w:type="spellEnd"/>
      <w:r w:rsidRPr="009727BD">
        <w:rPr>
          <w:rFonts w:cs="Arial"/>
          <w:lang w:val="ro-RO"/>
        </w:rPr>
        <w:t xml:space="preserve"> conform alin. (8) lit. c), cu </w:t>
      </w:r>
      <w:proofErr w:type="spellStart"/>
      <w:r w:rsidRPr="009727BD">
        <w:rPr>
          <w:rFonts w:cs="Arial"/>
          <w:lang w:val="ro-RO"/>
        </w:rPr>
        <w:t>condiţia</w:t>
      </w:r>
      <w:proofErr w:type="spellEnd"/>
      <w:r w:rsidRPr="009727BD">
        <w:rPr>
          <w:rFonts w:cs="Arial"/>
          <w:lang w:val="ro-RO"/>
        </w:rPr>
        <w:t xml:space="preserve"> înregistrării online </w:t>
      </w:r>
      <w:proofErr w:type="spellStart"/>
      <w:r w:rsidRPr="009727BD">
        <w:rPr>
          <w:rFonts w:cs="Arial"/>
          <w:lang w:val="ro-RO"/>
        </w:rPr>
        <w:t>şi</w:t>
      </w:r>
      <w:proofErr w:type="spellEnd"/>
      <w:r w:rsidRPr="009727BD">
        <w:rPr>
          <w:rFonts w:cs="Arial"/>
          <w:lang w:val="ro-RO"/>
        </w:rPr>
        <w:t xml:space="preserve"> </w:t>
      </w:r>
      <w:proofErr w:type="spellStart"/>
      <w:r w:rsidRPr="009727BD">
        <w:rPr>
          <w:rFonts w:cs="Arial"/>
          <w:lang w:val="ro-RO"/>
        </w:rPr>
        <w:t>plăţii</w:t>
      </w:r>
      <w:proofErr w:type="spellEnd"/>
      <w:r w:rsidRPr="009727BD">
        <w:rPr>
          <w:rFonts w:cs="Arial"/>
          <w:lang w:val="ro-RO"/>
        </w:rPr>
        <w:t xml:space="preserve"> unei taxe/unui tarif administrativ(e) stabilit(e) de </w:t>
      </w:r>
      <w:proofErr w:type="spellStart"/>
      <w:r w:rsidRPr="009727BD">
        <w:rPr>
          <w:rFonts w:cs="Arial"/>
          <w:lang w:val="ro-RO"/>
        </w:rPr>
        <w:t>autorităţile</w:t>
      </w:r>
      <w:proofErr w:type="spellEnd"/>
      <w:r w:rsidRPr="009727BD">
        <w:rPr>
          <w:rFonts w:cs="Arial"/>
          <w:lang w:val="ro-RO"/>
        </w:rPr>
        <w:t xml:space="preserve"> prevăzute la alin. (5), care nu trebuie să </w:t>
      </w:r>
      <w:proofErr w:type="spellStart"/>
      <w:r w:rsidRPr="009727BD">
        <w:rPr>
          <w:rFonts w:cs="Arial"/>
          <w:lang w:val="ro-RO"/>
        </w:rPr>
        <w:t>depăşească</w:t>
      </w:r>
      <w:proofErr w:type="spellEnd"/>
      <w:r w:rsidRPr="009727BD">
        <w:rPr>
          <w:rFonts w:cs="Arial"/>
          <w:lang w:val="ro-RO"/>
        </w:rPr>
        <w:t xml:space="preserve"> costurile administrative asociate punerii la </w:t>
      </w:r>
      <w:proofErr w:type="spellStart"/>
      <w:r w:rsidRPr="009727BD">
        <w:rPr>
          <w:rFonts w:cs="Arial"/>
          <w:lang w:val="ro-RO"/>
        </w:rPr>
        <w:t>dispoziţie</w:t>
      </w:r>
      <w:proofErr w:type="spellEnd"/>
      <w:r w:rsidRPr="009727BD">
        <w:rPr>
          <w:rFonts w:cs="Arial"/>
          <w:lang w:val="ro-RO"/>
        </w:rPr>
        <w:t xml:space="preserve"> a </w:t>
      </w:r>
      <w:proofErr w:type="spellStart"/>
      <w:r w:rsidRPr="009727BD">
        <w:rPr>
          <w:rFonts w:cs="Arial"/>
          <w:lang w:val="ro-RO"/>
        </w:rPr>
        <w:t>informaţiilor</w:t>
      </w:r>
      <w:proofErr w:type="spellEnd"/>
      <w:r w:rsidRPr="009727BD">
        <w:rPr>
          <w:rFonts w:cs="Arial"/>
          <w:lang w:val="ro-RO"/>
        </w:rPr>
        <w:t xml:space="preserve">, inclusiv costurile de </w:t>
      </w:r>
      <w:proofErr w:type="spellStart"/>
      <w:r w:rsidRPr="009727BD">
        <w:rPr>
          <w:rFonts w:cs="Arial"/>
          <w:lang w:val="ro-RO"/>
        </w:rPr>
        <w:t>întreţinere</w:t>
      </w:r>
      <w:proofErr w:type="spellEnd"/>
      <w:r w:rsidRPr="009727BD">
        <w:rPr>
          <w:rFonts w:cs="Arial"/>
          <w:lang w:val="ro-RO"/>
        </w:rPr>
        <w:t xml:space="preserve"> </w:t>
      </w:r>
      <w:proofErr w:type="spellStart"/>
      <w:r w:rsidRPr="009727BD">
        <w:rPr>
          <w:rFonts w:cs="Arial"/>
          <w:lang w:val="ro-RO"/>
        </w:rPr>
        <w:t>şi</w:t>
      </w:r>
      <w:proofErr w:type="spellEnd"/>
      <w:r w:rsidRPr="009727BD">
        <w:rPr>
          <w:rFonts w:cs="Arial"/>
          <w:lang w:val="ro-RO"/>
        </w:rPr>
        <w:t xml:space="preserve"> dezvoltare a registrului. Procedura privind înregistrarea online </w:t>
      </w:r>
      <w:proofErr w:type="spellStart"/>
      <w:r w:rsidRPr="009727BD">
        <w:rPr>
          <w:rFonts w:cs="Arial"/>
          <w:lang w:val="ro-RO"/>
        </w:rPr>
        <w:t>şi</w:t>
      </w:r>
      <w:proofErr w:type="spellEnd"/>
      <w:r w:rsidRPr="009727BD">
        <w:rPr>
          <w:rFonts w:cs="Arial"/>
          <w:lang w:val="ro-RO"/>
        </w:rPr>
        <w:t xml:space="preserve"> cuantumul taxei/tarifului se aprobă prin ordin al ministrului </w:t>
      </w:r>
      <w:proofErr w:type="spellStart"/>
      <w:r w:rsidRPr="009727BD">
        <w:rPr>
          <w:rFonts w:cs="Arial"/>
          <w:lang w:val="ro-RO"/>
        </w:rPr>
        <w:t>justiţiei</w:t>
      </w:r>
      <w:proofErr w:type="spellEnd"/>
      <w:r w:rsidRPr="009727BD">
        <w:rPr>
          <w:rFonts w:cs="Arial"/>
          <w:lang w:val="ro-RO"/>
        </w:rPr>
        <w:t xml:space="preserve"> sau prin ordin al </w:t>
      </w:r>
      <w:proofErr w:type="spellStart"/>
      <w:r w:rsidRPr="009727BD">
        <w:rPr>
          <w:rFonts w:cs="Arial"/>
          <w:lang w:val="ro-RO"/>
        </w:rPr>
        <w:t>preşedintelui</w:t>
      </w:r>
      <w:proofErr w:type="spellEnd"/>
      <w:r w:rsidRPr="009727BD">
        <w:rPr>
          <w:rFonts w:cs="Arial"/>
          <w:lang w:val="ro-RO"/>
        </w:rPr>
        <w:t xml:space="preserve"> </w:t>
      </w:r>
      <w:proofErr w:type="spellStart"/>
      <w:r w:rsidRPr="009727BD">
        <w:rPr>
          <w:rFonts w:cs="Arial"/>
          <w:lang w:val="ro-RO"/>
        </w:rPr>
        <w:t>Agenţiei</w:t>
      </w:r>
      <w:proofErr w:type="spellEnd"/>
      <w:r w:rsidRPr="009727BD">
        <w:rPr>
          <w:rFonts w:cs="Arial"/>
          <w:lang w:val="ro-RO"/>
        </w:rPr>
        <w:t xml:space="preserve"> </w:t>
      </w:r>
      <w:proofErr w:type="spellStart"/>
      <w:r w:rsidRPr="009727BD">
        <w:rPr>
          <w:rFonts w:cs="Arial"/>
          <w:lang w:val="ro-RO"/>
        </w:rPr>
        <w:t>Naţionale</w:t>
      </w:r>
      <w:proofErr w:type="spellEnd"/>
      <w:r w:rsidRPr="009727BD">
        <w:rPr>
          <w:rFonts w:cs="Arial"/>
          <w:lang w:val="ro-RO"/>
        </w:rPr>
        <w:t xml:space="preserve"> de Administrare Fiscală, după caz.</w:t>
      </w:r>
    </w:p>
    <w:bookmarkEnd w:id="0"/>
    <w:p w:rsidR="009727BD" w:rsidRPr="009727BD" w:rsidRDefault="009727BD" w:rsidP="009727BD">
      <w:pPr>
        <w:ind w:left="-851"/>
        <w:rPr>
          <w:rFonts w:cs="Arial"/>
          <w:lang w:val="ro-RO"/>
        </w:rPr>
      </w:pPr>
      <w:r w:rsidRPr="009727BD">
        <w:rPr>
          <w:rFonts w:cs="Arial"/>
          <w:lang w:val="ro-RO"/>
        </w:rPr>
        <w:t xml:space="preserve">Potrivit </w:t>
      </w:r>
      <w:proofErr w:type="spellStart"/>
      <w:r w:rsidRPr="009727BD">
        <w:rPr>
          <w:rFonts w:cs="Arial"/>
          <w:lang w:val="ro-RO"/>
        </w:rPr>
        <w:t>dispoziţiilor</w:t>
      </w:r>
      <w:proofErr w:type="spellEnd"/>
      <w:r w:rsidRPr="009727BD">
        <w:rPr>
          <w:rFonts w:cs="Arial"/>
          <w:lang w:val="ro-RO"/>
        </w:rPr>
        <w:t xml:space="preserve"> art. VIII alin. (7) din Ordonanța de urgență a Guvernului nr. 111/2020</w:t>
      </w:r>
      <w:r w:rsidR="00B16F0A">
        <w:rPr>
          <w:rFonts w:cs="Arial"/>
          <w:lang w:val="ro-RO"/>
        </w:rPr>
        <w:t>,</w:t>
      </w:r>
      <w:r w:rsidRPr="009727BD">
        <w:rPr>
          <w:rFonts w:cs="Arial"/>
          <w:lang w:val="ro-RO"/>
        </w:rPr>
        <w:t xml:space="preserve"> ordinul ministrului justiției prevăzut la art. 19 alin. (8</w:t>
      </w:r>
      <w:r w:rsidRPr="009727BD">
        <w:rPr>
          <w:rFonts w:cs="Arial"/>
          <w:vertAlign w:val="superscript"/>
          <w:lang w:val="ro-RO"/>
        </w:rPr>
        <w:t>2</w:t>
      </w:r>
      <w:r w:rsidRPr="009727BD">
        <w:rPr>
          <w:rFonts w:cs="Arial"/>
          <w:lang w:val="ro-RO"/>
        </w:rPr>
        <w:t xml:space="preserve">) din Legea nr. 129/2019, cu modificările ulterioare, se emite în termen de 90 de zile de la data intrării în vigoare a ordonanței (15.07.2020) </w:t>
      </w:r>
      <w:proofErr w:type="spellStart"/>
      <w:r w:rsidRPr="009727BD">
        <w:rPr>
          <w:rFonts w:cs="Arial"/>
          <w:lang w:val="ro-RO"/>
        </w:rPr>
        <w:t>şi</w:t>
      </w:r>
      <w:proofErr w:type="spellEnd"/>
      <w:r w:rsidRPr="009727BD">
        <w:rPr>
          <w:rFonts w:cs="Arial"/>
          <w:lang w:val="ro-RO"/>
        </w:rPr>
        <w:t xml:space="preserve"> se publică în Monitorul Oficial al României, Partea I.</w:t>
      </w:r>
    </w:p>
    <w:p w:rsidR="009727BD" w:rsidRPr="009727BD" w:rsidRDefault="009727BD" w:rsidP="009727BD">
      <w:pPr>
        <w:ind w:left="-851"/>
        <w:rPr>
          <w:rFonts w:cs="Arial"/>
          <w:lang w:val="ro-RO"/>
        </w:rPr>
      </w:pPr>
      <w:r w:rsidRPr="009727BD">
        <w:rPr>
          <w:rFonts w:cs="Arial"/>
          <w:lang w:val="ro-RO"/>
        </w:rPr>
        <w:t xml:space="preserve">Așadar, în vederea respectării acestor dispoziții legale </w:t>
      </w:r>
      <w:proofErr w:type="spellStart"/>
      <w:r w:rsidRPr="009727BD">
        <w:rPr>
          <w:rFonts w:cs="Arial"/>
          <w:lang w:val="ro-RO"/>
        </w:rPr>
        <w:t>precitate</w:t>
      </w:r>
      <w:proofErr w:type="spellEnd"/>
      <w:r w:rsidRPr="009727BD">
        <w:rPr>
          <w:rFonts w:cs="Arial"/>
          <w:lang w:val="ro-RO"/>
        </w:rPr>
        <w:t>, în conformitate cu prevederile art. 19 alin. (8</w:t>
      </w:r>
      <w:r w:rsidRPr="009727BD">
        <w:rPr>
          <w:rFonts w:cs="Arial"/>
          <w:vertAlign w:val="superscript"/>
          <w:lang w:val="ro-RO"/>
        </w:rPr>
        <w:t>2</w:t>
      </w:r>
      <w:r w:rsidRPr="009727BD">
        <w:rPr>
          <w:rFonts w:cs="Arial"/>
          <w:lang w:val="ro-RO"/>
        </w:rPr>
        <w:t xml:space="preserve">) teza finală din Legea nr. 129/2019, este necesară emiterea unui ordin de aprobare a </w:t>
      </w:r>
      <w:r w:rsidRPr="009727BD">
        <w:rPr>
          <w:rFonts w:cs="Arial"/>
          <w:lang w:val="ro-RO"/>
        </w:rPr>
        <w:lastRenderedPageBreak/>
        <w:t xml:space="preserve">procedurii de înregistrare on-line pentru accesul la Registrul beneficiarilor reali prevăzut de  art. 19 alin. (5) lit. a) din Legea nr. 129/2019. </w:t>
      </w:r>
    </w:p>
    <w:p w:rsidR="009727BD" w:rsidRPr="009727BD" w:rsidRDefault="009727BD" w:rsidP="00B16F0A">
      <w:pPr>
        <w:ind w:left="-851"/>
        <w:rPr>
          <w:rFonts w:cs="Arial"/>
          <w:lang w:val="ro-RO"/>
        </w:rPr>
      </w:pPr>
      <w:r w:rsidRPr="009727BD">
        <w:rPr>
          <w:rFonts w:cs="Arial"/>
          <w:lang w:val="ro-RO"/>
        </w:rPr>
        <w:t>Astfel, potrivit procedurii aprobate prin ordinul anexat, persoanele fizice sau juridice îndreptățite conform art. 19 alin. (8) lit. c) din Legea nr. 129/2019 se înregistrează on-line în portalul de servicii al ONRC și solicită accesul la serviciul on-line de furnizare informații din R</w:t>
      </w:r>
      <w:r w:rsidR="00B16F0A">
        <w:rPr>
          <w:rFonts w:cs="Arial"/>
          <w:lang w:val="ro-RO"/>
        </w:rPr>
        <w:t>egistrul beneficiarilor reali</w:t>
      </w:r>
      <w:r w:rsidRPr="009727BD">
        <w:rPr>
          <w:rFonts w:cs="Arial"/>
          <w:lang w:val="ro-RO"/>
        </w:rPr>
        <w:t>.</w:t>
      </w:r>
      <w:r w:rsidR="00B16F0A">
        <w:rPr>
          <w:rFonts w:cs="Arial"/>
          <w:lang w:val="ro-RO"/>
        </w:rPr>
        <w:t xml:space="preserve"> </w:t>
      </w:r>
      <w:r w:rsidRPr="009727BD">
        <w:rPr>
          <w:rFonts w:cs="Arial"/>
          <w:lang w:val="ro-RO"/>
        </w:rPr>
        <w:t>Accesul la datele din Registrul beneficiarilor reali este asigurat persoanelor indicate mai sus, prin portalul de servicii on-line al ONRC, cu condiția achitării on-line a tarifului legal aferent.</w:t>
      </w:r>
    </w:p>
    <w:p w:rsidR="009727BD" w:rsidRPr="009727BD" w:rsidRDefault="009727BD" w:rsidP="009727BD">
      <w:pPr>
        <w:ind w:left="-851"/>
        <w:rPr>
          <w:rFonts w:cs="Arial"/>
          <w:lang w:val="ro-RO"/>
        </w:rPr>
      </w:pPr>
      <w:r w:rsidRPr="009727BD">
        <w:rPr>
          <w:rFonts w:cs="Arial"/>
          <w:lang w:val="ro-RO"/>
        </w:rPr>
        <w:t xml:space="preserve">Procedura aprobată prin ordinul anexat va fi aplicată și autorităților care au competență de supraveghere și control, organelor judiciare, ONPCSB și entităților raportoare potrivit art. 19 alin. (8) din Legea nr. 129/2019,  în situația în care optează pentru asigurarea acestei modalități de acces la Registrul beneficiarilor reali. Pentru acestea, accesul la Registrul beneficiarilor reali este asigurat cu titlu gratuit, în urma înregistrării on-line în portalul de servicii al ONRC, pe baza unui document semnat electronic de către reprezentantul legal. </w:t>
      </w:r>
    </w:p>
    <w:p w:rsidR="009727BD" w:rsidRPr="009727BD" w:rsidRDefault="009727BD" w:rsidP="009727BD">
      <w:pPr>
        <w:ind w:left="-851"/>
        <w:rPr>
          <w:rFonts w:cs="Arial"/>
          <w:lang w:val="ro-RO"/>
        </w:rPr>
      </w:pPr>
      <w:r w:rsidRPr="009727BD">
        <w:rPr>
          <w:rFonts w:cs="Arial"/>
          <w:lang w:val="ro-RO"/>
        </w:rPr>
        <w:t xml:space="preserve">Pentru facilitarea accesului la serviciile online atât a persoanelor fizice </w:t>
      </w:r>
      <w:proofErr w:type="spellStart"/>
      <w:r w:rsidRPr="009727BD">
        <w:rPr>
          <w:rFonts w:cs="Arial"/>
          <w:lang w:val="ro-RO"/>
        </w:rPr>
        <w:t>şi</w:t>
      </w:r>
      <w:proofErr w:type="spellEnd"/>
      <w:r w:rsidRPr="009727BD">
        <w:rPr>
          <w:rFonts w:cs="Arial"/>
          <w:lang w:val="ro-RO"/>
        </w:rPr>
        <w:t xml:space="preserve"> juridice îndreptățite precum </w:t>
      </w:r>
      <w:proofErr w:type="spellStart"/>
      <w:r w:rsidRPr="009727BD">
        <w:rPr>
          <w:rFonts w:cs="Arial"/>
          <w:lang w:val="ro-RO"/>
        </w:rPr>
        <w:t>şi</w:t>
      </w:r>
      <w:proofErr w:type="spellEnd"/>
      <w:r w:rsidRPr="009727BD">
        <w:rPr>
          <w:rFonts w:cs="Arial"/>
          <w:lang w:val="ro-RO"/>
        </w:rPr>
        <w:t xml:space="preserve"> a autorităților, organelor, entităților prevăzute de lege, ONRC va emite un ghid de utilizare a serviciului, ce va fi aprobat prin decizia directorului general al ONRC.</w:t>
      </w:r>
    </w:p>
    <w:p w:rsidR="009727BD" w:rsidRPr="009727BD" w:rsidRDefault="009727BD" w:rsidP="009727BD">
      <w:pPr>
        <w:ind w:left="-851"/>
        <w:rPr>
          <w:rStyle w:val="do1"/>
          <w:b w:val="0"/>
          <w:bCs w:val="0"/>
          <w:sz w:val="22"/>
          <w:szCs w:val="22"/>
          <w:lang w:val="ro-RO"/>
        </w:rPr>
      </w:pPr>
      <w:r w:rsidRPr="009727BD">
        <w:rPr>
          <w:rFonts w:cs="Arial"/>
          <w:lang w:val="ro-RO"/>
        </w:rPr>
        <w:t>Cât privește tariful pentru accesul la informațiile din Registrul beneficiarilor reali,</w:t>
      </w:r>
      <w:r w:rsidR="00B16F0A">
        <w:rPr>
          <w:rFonts w:cs="Arial"/>
          <w:lang w:val="ro-RO"/>
        </w:rPr>
        <w:t xml:space="preserve"> </w:t>
      </w:r>
      <w:r w:rsidRPr="009727BD">
        <w:rPr>
          <w:lang w:val="ro-RO"/>
        </w:rPr>
        <w:t xml:space="preserve">din analiza efectuată la nivelul ONRC s-a stabilit că din Registrul </w:t>
      </w:r>
      <w:r w:rsidRPr="00B16F0A">
        <w:rPr>
          <w:rStyle w:val="do1"/>
          <w:b w:val="0"/>
          <w:sz w:val="22"/>
          <w:szCs w:val="22"/>
          <w:lang w:val="ro-RO"/>
        </w:rPr>
        <w:t xml:space="preserve">beneficiarilor reali se vor elibera două tipuri de informații, respectiv informații privind beneficiarii reali ai unei persoane juridice (situația la zi) și eliberarea unui raport istoric privind beneficiarii reali ai unei persoane juridice/calitatea de beneficiar real al unei persoane fizice. Acestea vor fi eliberate exclusiv online, contra unui tarif care nu trebuie să </w:t>
      </w:r>
      <w:proofErr w:type="spellStart"/>
      <w:r w:rsidRPr="00B16F0A">
        <w:rPr>
          <w:rStyle w:val="do1"/>
          <w:b w:val="0"/>
          <w:sz w:val="22"/>
          <w:szCs w:val="22"/>
          <w:lang w:val="ro-RO"/>
        </w:rPr>
        <w:t>depăşească</w:t>
      </w:r>
      <w:proofErr w:type="spellEnd"/>
      <w:r w:rsidRPr="00B16F0A">
        <w:rPr>
          <w:rStyle w:val="do1"/>
          <w:b w:val="0"/>
          <w:sz w:val="22"/>
          <w:szCs w:val="22"/>
          <w:lang w:val="ro-RO"/>
        </w:rPr>
        <w:t xml:space="preserve"> costurile administrative asociate punerii la </w:t>
      </w:r>
      <w:proofErr w:type="spellStart"/>
      <w:r w:rsidRPr="00B16F0A">
        <w:rPr>
          <w:rStyle w:val="do1"/>
          <w:b w:val="0"/>
          <w:sz w:val="22"/>
          <w:szCs w:val="22"/>
          <w:lang w:val="ro-RO"/>
        </w:rPr>
        <w:t>dispoziţie</w:t>
      </w:r>
      <w:proofErr w:type="spellEnd"/>
      <w:r w:rsidRPr="00B16F0A">
        <w:rPr>
          <w:rStyle w:val="do1"/>
          <w:b w:val="0"/>
          <w:sz w:val="22"/>
          <w:szCs w:val="22"/>
          <w:lang w:val="ro-RO"/>
        </w:rPr>
        <w:t xml:space="preserve"> a </w:t>
      </w:r>
      <w:proofErr w:type="spellStart"/>
      <w:r w:rsidRPr="00B16F0A">
        <w:rPr>
          <w:rStyle w:val="do1"/>
          <w:b w:val="0"/>
          <w:sz w:val="22"/>
          <w:szCs w:val="22"/>
          <w:lang w:val="ro-RO"/>
        </w:rPr>
        <w:t>informaţiilor</w:t>
      </w:r>
      <w:proofErr w:type="spellEnd"/>
      <w:r w:rsidRPr="00B16F0A">
        <w:rPr>
          <w:rStyle w:val="do1"/>
          <w:b w:val="0"/>
          <w:sz w:val="22"/>
          <w:szCs w:val="22"/>
          <w:lang w:val="ro-RO"/>
        </w:rPr>
        <w:t xml:space="preserve">, inclusiv costurile de </w:t>
      </w:r>
      <w:proofErr w:type="spellStart"/>
      <w:r w:rsidRPr="00B16F0A">
        <w:rPr>
          <w:rStyle w:val="do1"/>
          <w:b w:val="0"/>
          <w:sz w:val="22"/>
          <w:szCs w:val="22"/>
          <w:lang w:val="ro-RO"/>
        </w:rPr>
        <w:t>întreţinere</w:t>
      </w:r>
      <w:proofErr w:type="spellEnd"/>
      <w:r w:rsidRPr="00B16F0A">
        <w:rPr>
          <w:rStyle w:val="do1"/>
          <w:b w:val="0"/>
          <w:sz w:val="22"/>
          <w:szCs w:val="22"/>
          <w:lang w:val="ro-RO"/>
        </w:rPr>
        <w:t xml:space="preserve"> </w:t>
      </w:r>
      <w:proofErr w:type="spellStart"/>
      <w:r w:rsidRPr="00B16F0A">
        <w:rPr>
          <w:rStyle w:val="do1"/>
          <w:b w:val="0"/>
          <w:sz w:val="22"/>
          <w:szCs w:val="22"/>
          <w:lang w:val="ro-RO"/>
        </w:rPr>
        <w:t>şi</w:t>
      </w:r>
      <w:proofErr w:type="spellEnd"/>
      <w:r w:rsidRPr="00B16F0A">
        <w:rPr>
          <w:rStyle w:val="do1"/>
          <w:b w:val="0"/>
          <w:sz w:val="22"/>
          <w:szCs w:val="22"/>
          <w:lang w:val="ro-RO"/>
        </w:rPr>
        <w:t xml:space="preserve"> dezvoltare a registrului.</w:t>
      </w:r>
    </w:p>
    <w:p w:rsidR="009727BD" w:rsidRPr="00B16F0A" w:rsidRDefault="009727BD" w:rsidP="009727BD">
      <w:pPr>
        <w:ind w:left="-851"/>
        <w:rPr>
          <w:rStyle w:val="do1"/>
          <w:b w:val="0"/>
          <w:bCs w:val="0"/>
          <w:sz w:val="22"/>
          <w:szCs w:val="22"/>
          <w:lang w:val="ro-RO"/>
        </w:rPr>
      </w:pPr>
      <w:r w:rsidRPr="00B16F0A">
        <w:rPr>
          <w:rStyle w:val="do1"/>
          <w:b w:val="0"/>
          <w:sz w:val="22"/>
          <w:szCs w:val="22"/>
          <w:lang w:val="ro-RO"/>
        </w:rPr>
        <w:t>Pentru stabilirea tarifelor celor două operațiuni a fost previzionat numărul de solicitări pe o perioadă de cinci ani pornind de la numărul de persoane juridice active la 31.12.2019.</w:t>
      </w:r>
    </w:p>
    <w:p w:rsidR="009727BD" w:rsidRPr="00B16F0A" w:rsidRDefault="009727BD" w:rsidP="009727BD">
      <w:pPr>
        <w:ind w:left="-900"/>
        <w:rPr>
          <w:rStyle w:val="do1"/>
          <w:b w:val="0"/>
          <w:bCs w:val="0"/>
          <w:sz w:val="22"/>
          <w:szCs w:val="22"/>
          <w:lang w:val="ro-RO"/>
        </w:rPr>
      </w:pPr>
      <w:r w:rsidRPr="00B16F0A">
        <w:rPr>
          <w:rStyle w:val="do1"/>
          <w:b w:val="0"/>
          <w:sz w:val="22"/>
          <w:szCs w:val="22"/>
          <w:lang w:val="ro-RO"/>
        </w:rPr>
        <w:t xml:space="preserve">De asemenea, s-a estimat, pe o perioadă de 5 ani, și numărul solicitărilor de informații privind beneficiarii reali ai unei persoane juridice (situația la zi) și de eliberare a </w:t>
      </w:r>
      <w:bookmarkStart w:id="1" w:name="_Hlk47612788"/>
      <w:r w:rsidRPr="00B16F0A">
        <w:rPr>
          <w:rStyle w:val="do1"/>
          <w:b w:val="0"/>
          <w:sz w:val="22"/>
          <w:szCs w:val="22"/>
          <w:lang w:val="ro-RO"/>
        </w:rPr>
        <w:t>raportului istoric privind beneficiarii reali ai unei persoane juridice/calitatea de beneficiar real al unei persoane fizice</w:t>
      </w:r>
      <w:bookmarkEnd w:id="1"/>
      <w:r w:rsidRPr="00B16F0A">
        <w:rPr>
          <w:rStyle w:val="do1"/>
          <w:b w:val="0"/>
          <w:sz w:val="22"/>
          <w:szCs w:val="22"/>
          <w:lang w:val="ro-RO"/>
        </w:rPr>
        <w:t>.</w:t>
      </w:r>
      <w:r w:rsidRPr="00B16F0A">
        <w:rPr>
          <w:rStyle w:val="do1"/>
          <w:b w:val="0"/>
          <w:bCs w:val="0"/>
          <w:sz w:val="22"/>
          <w:szCs w:val="22"/>
          <w:lang w:val="ro-RO"/>
        </w:rPr>
        <w:t xml:space="preserve"> </w:t>
      </w:r>
      <w:r w:rsidRPr="00B16F0A">
        <w:rPr>
          <w:rStyle w:val="do1"/>
          <w:b w:val="0"/>
          <w:sz w:val="22"/>
          <w:szCs w:val="22"/>
          <w:lang w:val="ro-RO"/>
        </w:rPr>
        <w:t xml:space="preserve">Totodată, s-a stabilit ponderea tuturor cheltuielilor administrative în totalul cheltuielilor ONRC, bază pentru determinarea cheltuielilor anuale pe cele două tipuri de informații și s-au avut în vedere și cheltuielile cu aplicația informatică dedicată </w:t>
      </w:r>
      <w:r w:rsidRPr="00B16F0A">
        <w:rPr>
          <w:lang w:val="ro-RO"/>
        </w:rPr>
        <w:t xml:space="preserve">Registrului </w:t>
      </w:r>
      <w:r w:rsidRPr="00B16F0A">
        <w:rPr>
          <w:rStyle w:val="do1"/>
          <w:b w:val="0"/>
          <w:sz w:val="22"/>
          <w:szCs w:val="22"/>
          <w:lang w:val="ro-RO"/>
        </w:rPr>
        <w:t>beneficiarilor reali.</w:t>
      </w:r>
    </w:p>
    <w:p w:rsidR="009727BD" w:rsidRPr="00B16F0A" w:rsidRDefault="009727BD" w:rsidP="009727BD">
      <w:pPr>
        <w:ind w:left="-900"/>
        <w:rPr>
          <w:rStyle w:val="do1"/>
          <w:b w:val="0"/>
          <w:sz w:val="22"/>
          <w:szCs w:val="22"/>
          <w:lang w:val="ro-RO"/>
        </w:rPr>
      </w:pPr>
      <w:r w:rsidRPr="00B16F0A">
        <w:rPr>
          <w:rStyle w:val="do1"/>
          <w:b w:val="0"/>
          <w:sz w:val="22"/>
          <w:szCs w:val="22"/>
          <w:lang w:val="ro-RO"/>
        </w:rPr>
        <w:t xml:space="preserve">Prin raportarea cheltuielilor anuale, astfel determinate, la numărul anual de informații pe cele două tipuri, au rezultat costurile aferente per informație prevăzute în Anexa 2 al ordinului </w:t>
      </w:r>
    </w:p>
    <w:p w:rsidR="001266FA" w:rsidRDefault="009727BD" w:rsidP="00B16F0A">
      <w:pPr>
        <w:ind w:left="-900"/>
        <w:rPr>
          <w:bCs/>
          <w:lang w:val="ro-RO"/>
        </w:rPr>
      </w:pPr>
      <w:r w:rsidRPr="00B16F0A">
        <w:rPr>
          <w:rFonts w:cs="Arial"/>
          <w:lang w:val="ro-RO"/>
        </w:rPr>
        <w:t xml:space="preserve">Față de cele prezentate, a fost elaborat prezentul proiect de ordin </w:t>
      </w:r>
      <w:bookmarkStart w:id="2" w:name="_Hlk48046814"/>
      <w:r w:rsidRPr="00B16F0A">
        <w:rPr>
          <w:rFonts w:cs="Arial"/>
          <w:lang w:val="ro-RO"/>
        </w:rPr>
        <w:t xml:space="preserve">pentru aprobarea  ”Procedurii de înregistrare on-line și de aprobare a tarifelor pentru accesul la Registrul beneficiarilor reali </w:t>
      </w:r>
      <w:bookmarkEnd w:id="2"/>
      <w:proofErr w:type="spellStart"/>
      <w:r w:rsidRPr="00B16F0A">
        <w:rPr>
          <w:rFonts w:cs="Arial"/>
          <w:lang w:val="ro-RO"/>
        </w:rPr>
        <w:t>ţinut</w:t>
      </w:r>
      <w:proofErr w:type="spellEnd"/>
      <w:r w:rsidRPr="00B16F0A">
        <w:rPr>
          <w:rFonts w:cs="Arial"/>
          <w:lang w:val="ro-RO"/>
        </w:rPr>
        <w:t xml:space="preserve"> de Oficiul </w:t>
      </w:r>
      <w:proofErr w:type="spellStart"/>
      <w:r w:rsidRPr="00B16F0A">
        <w:rPr>
          <w:rFonts w:cs="Arial"/>
          <w:lang w:val="ro-RO"/>
        </w:rPr>
        <w:t>Naţional</w:t>
      </w:r>
      <w:proofErr w:type="spellEnd"/>
      <w:r w:rsidRPr="00B16F0A">
        <w:rPr>
          <w:rFonts w:cs="Arial"/>
          <w:lang w:val="ro-RO"/>
        </w:rPr>
        <w:t xml:space="preserve"> al Registrului </w:t>
      </w:r>
      <w:proofErr w:type="spellStart"/>
      <w:r w:rsidRPr="00B16F0A">
        <w:rPr>
          <w:rFonts w:cs="Arial"/>
          <w:lang w:val="ro-RO"/>
        </w:rPr>
        <w:t>Comerţului</w:t>
      </w:r>
      <w:proofErr w:type="spellEnd"/>
      <w:r w:rsidR="00B16F0A" w:rsidRPr="00B16F0A">
        <w:rPr>
          <w:rFonts w:cs="Arial"/>
          <w:lang w:val="ro-RO"/>
        </w:rPr>
        <w:t>”</w:t>
      </w:r>
      <w:r w:rsidRPr="00B16F0A">
        <w:rPr>
          <w:rFonts w:cs="Arial"/>
          <w:lang w:val="ro-RO"/>
        </w:rPr>
        <w:t>.</w:t>
      </w:r>
    </w:p>
    <w:p w:rsidR="00B16F0A" w:rsidRDefault="00B16F0A" w:rsidP="00B16F0A">
      <w:pPr>
        <w:ind w:left="-900"/>
        <w:rPr>
          <w:bCs/>
          <w:lang w:val="ro-RO"/>
        </w:rPr>
      </w:pPr>
    </w:p>
    <w:p w:rsidR="00B16F0A" w:rsidRPr="00B16F0A" w:rsidRDefault="00B16F0A" w:rsidP="00B16F0A">
      <w:pPr>
        <w:ind w:left="-900"/>
        <w:rPr>
          <w:bCs/>
          <w:lang w:val="ro-RO"/>
        </w:rPr>
      </w:pPr>
      <w:bookmarkStart w:id="3" w:name="_GoBack"/>
      <w:bookmarkEnd w:id="3"/>
    </w:p>
    <w:p w:rsidR="001266FA" w:rsidRPr="00B16F0A" w:rsidRDefault="001266FA" w:rsidP="009727BD">
      <w:pPr>
        <w:jc w:val="right"/>
        <w:rPr>
          <w:i/>
          <w:u w:val="single"/>
          <w:lang w:val="ro-RO"/>
        </w:rPr>
      </w:pPr>
    </w:p>
    <w:p w:rsidR="00FC7D65" w:rsidRPr="00B16F0A" w:rsidRDefault="00FC7D65" w:rsidP="009727BD">
      <w:pPr>
        <w:ind w:left="0"/>
        <w:jc w:val="center"/>
        <w:rPr>
          <w:rFonts w:eastAsia="Times New Roman"/>
          <w:lang w:val="ro-RO"/>
        </w:rPr>
      </w:pPr>
    </w:p>
    <w:sectPr w:rsidR="00FC7D65" w:rsidRPr="00B16F0A" w:rsidSect="005848A2">
      <w:headerReference w:type="default" r:id="rId8"/>
      <w:footerReference w:type="default" r:id="rId9"/>
      <w:headerReference w:type="first" r:id="rId10"/>
      <w:footerReference w:type="first" r:id="rId11"/>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D77" w:rsidRDefault="00263D77" w:rsidP="00CD5B3B">
      <w:r>
        <w:separator/>
      </w:r>
    </w:p>
  </w:endnote>
  <w:endnote w:type="continuationSeparator" w:id="0">
    <w:p w:rsidR="00263D77" w:rsidRDefault="00263D7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Look w:val="04A0" w:firstRow="1" w:lastRow="0" w:firstColumn="1" w:lastColumn="0" w:noHBand="0" w:noVBand="1"/>
    </w:tblPr>
    <w:tblGrid>
      <w:gridCol w:w="1566"/>
      <w:gridCol w:w="5986"/>
      <w:gridCol w:w="3363"/>
    </w:tblGrid>
    <w:tr w:rsidR="00BD1F1A" w:rsidRPr="00405B2D" w:rsidTr="00F544B3">
      <w:tc>
        <w:tcPr>
          <w:tcW w:w="1566" w:type="dxa"/>
          <w:shd w:val="clear" w:color="auto" w:fill="auto"/>
        </w:tcPr>
        <w:p w:rsidR="00BD1F1A" w:rsidRDefault="00BD1F1A" w:rsidP="00BD1F1A">
          <w:pPr>
            <w:ind w:left="33"/>
          </w:pPr>
          <w:r>
            <w:rPr>
              <w:noProof/>
              <w:lang w:val="ro-RO" w:eastAsia="ro-RO"/>
            </w:rPr>
            <w:drawing>
              <wp:inline distT="0" distB="0" distL="0" distR="0" wp14:anchorId="5EBE7A09" wp14:editId="4C5C9957">
                <wp:extent cx="314325" cy="314325"/>
                <wp:effectExtent l="0" t="0" r="9525" b="9525"/>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r>
            <w:rPr>
              <w:noProof/>
              <w:lang w:val="ro-RO" w:eastAsia="ro-RO"/>
            </w:rPr>
            <w:drawing>
              <wp:inline distT="0" distB="0" distL="0" distR="0" wp14:anchorId="177371EE" wp14:editId="42E66A56">
                <wp:extent cx="311150" cy="311150"/>
                <wp:effectExtent l="0" t="0" r="0" b="0"/>
                <wp:docPr id="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BD1F1A" w:rsidRPr="00036CF6" w:rsidRDefault="00BD1F1A" w:rsidP="00BD1F1A">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BD1F1A" w:rsidRPr="00036CF6" w:rsidRDefault="00BD1F1A" w:rsidP="00BD1F1A">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BD1F1A" w:rsidRPr="00036CF6" w:rsidRDefault="00BD1F1A" w:rsidP="00BD1F1A">
          <w:pPr>
            <w:tabs>
              <w:tab w:val="center" w:pos="4320"/>
              <w:tab w:val="right" w:pos="8640"/>
            </w:tabs>
            <w:spacing w:after="0"/>
            <w:ind w:left="0"/>
            <w:rPr>
              <w:sz w:val="14"/>
              <w:szCs w:val="14"/>
            </w:rPr>
          </w:pPr>
          <w:r w:rsidRPr="00036CF6">
            <w:rPr>
              <w:sz w:val="14"/>
              <w:szCs w:val="14"/>
            </w:rPr>
            <w:t>Tel. +4 037 204 1999</w:t>
          </w:r>
        </w:p>
        <w:p w:rsidR="00BD1F1A" w:rsidRPr="00036CF6" w:rsidRDefault="00263D77" w:rsidP="00BD1F1A">
          <w:pPr>
            <w:tabs>
              <w:tab w:val="center" w:pos="4320"/>
              <w:tab w:val="right" w:pos="8640"/>
            </w:tabs>
            <w:spacing w:after="0"/>
            <w:ind w:left="0"/>
            <w:rPr>
              <w:sz w:val="14"/>
              <w:szCs w:val="14"/>
            </w:rPr>
          </w:pPr>
          <w:hyperlink r:id="rId3" w:history="1">
            <w:r w:rsidR="00BD1F1A" w:rsidRPr="00036CF6">
              <w:rPr>
                <w:color w:val="0000FF" w:themeColor="hyperlink"/>
                <w:sz w:val="14"/>
                <w:szCs w:val="14"/>
                <w:u w:val="single"/>
              </w:rPr>
              <w:t>www.just.ro</w:t>
            </w:r>
          </w:hyperlink>
        </w:p>
        <w:p w:rsidR="00BD1F1A" w:rsidRPr="00036CF6" w:rsidRDefault="00BD1F1A" w:rsidP="00BD1F1A">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3363" w:type="dxa"/>
          <w:shd w:val="clear" w:color="auto" w:fill="auto"/>
        </w:tcPr>
        <w:p w:rsidR="00BD1F1A" w:rsidRPr="00452DF6" w:rsidRDefault="00BD1F1A" w:rsidP="00BD1F1A">
          <w:pPr>
            <w:tabs>
              <w:tab w:val="center" w:pos="4536"/>
              <w:tab w:val="right" w:pos="9072"/>
            </w:tabs>
            <w:spacing w:after="0" w:line="240" w:lineRule="auto"/>
            <w:ind w:left="0"/>
            <w:jc w:val="right"/>
            <w:rPr>
              <w:sz w:val="14"/>
              <w:szCs w:val="14"/>
              <w:lang w:val="es-ES"/>
            </w:rPr>
          </w:pPr>
          <w:proofErr w:type="spellStart"/>
          <w:r w:rsidRPr="00452DF6">
            <w:rPr>
              <w:sz w:val="14"/>
              <w:szCs w:val="14"/>
              <w:lang w:val="es-ES"/>
            </w:rPr>
            <w:t>Pagina</w:t>
          </w:r>
          <w:proofErr w:type="spellEnd"/>
          <w:r w:rsidRPr="00452DF6">
            <w:rPr>
              <w:sz w:val="14"/>
              <w:szCs w:val="14"/>
              <w:lang w:val="es-ES"/>
            </w:rPr>
            <w:t xml:space="preserve"> </w:t>
          </w:r>
          <w:r w:rsidRPr="00036CF6">
            <w:rPr>
              <w:sz w:val="14"/>
              <w:szCs w:val="14"/>
            </w:rPr>
            <w:fldChar w:fldCharType="begin"/>
          </w:r>
          <w:r w:rsidRPr="00452DF6">
            <w:rPr>
              <w:sz w:val="14"/>
              <w:szCs w:val="14"/>
              <w:lang w:val="es-ES"/>
            </w:rPr>
            <w:instrText xml:space="preserve"> PAGE </w:instrText>
          </w:r>
          <w:r w:rsidRPr="00036CF6">
            <w:rPr>
              <w:sz w:val="14"/>
              <w:szCs w:val="14"/>
            </w:rPr>
            <w:fldChar w:fldCharType="separate"/>
          </w:r>
          <w:r>
            <w:rPr>
              <w:noProof/>
              <w:sz w:val="14"/>
              <w:szCs w:val="14"/>
              <w:lang w:val="es-ES"/>
            </w:rPr>
            <w:t>1</w:t>
          </w:r>
          <w:r w:rsidRPr="00036CF6">
            <w:rPr>
              <w:sz w:val="14"/>
              <w:szCs w:val="14"/>
            </w:rPr>
            <w:fldChar w:fldCharType="end"/>
          </w:r>
          <w:r w:rsidRPr="00452DF6">
            <w:rPr>
              <w:sz w:val="14"/>
              <w:szCs w:val="14"/>
              <w:lang w:val="es-ES"/>
            </w:rPr>
            <w:t xml:space="preserve"> din </w:t>
          </w:r>
          <w:r w:rsidRPr="00036CF6">
            <w:rPr>
              <w:sz w:val="14"/>
              <w:szCs w:val="14"/>
            </w:rPr>
            <w:fldChar w:fldCharType="begin"/>
          </w:r>
          <w:r w:rsidRPr="00452DF6">
            <w:rPr>
              <w:sz w:val="14"/>
              <w:szCs w:val="14"/>
              <w:lang w:val="es-ES"/>
            </w:rPr>
            <w:instrText xml:space="preserve"> SECTIONPAGES   \* MERGEFORMAT </w:instrText>
          </w:r>
          <w:r w:rsidRPr="00036CF6">
            <w:rPr>
              <w:sz w:val="14"/>
              <w:szCs w:val="14"/>
            </w:rPr>
            <w:fldChar w:fldCharType="separate"/>
          </w:r>
          <w:r w:rsidR="00D44926">
            <w:rPr>
              <w:noProof/>
              <w:sz w:val="14"/>
              <w:szCs w:val="14"/>
              <w:lang w:val="es-ES"/>
            </w:rPr>
            <w:t>2</w:t>
          </w:r>
          <w:r w:rsidRPr="00036CF6">
            <w:rPr>
              <w:sz w:val="14"/>
              <w:szCs w:val="14"/>
            </w:rPr>
            <w:fldChar w:fldCharType="end"/>
          </w:r>
        </w:p>
        <w:p w:rsidR="00BD1F1A" w:rsidRPr="00452DF6" w:rsidRDefault="00BD1F1A" w:rsidP="00BD1F1A">
          <w:pPr>
            <w:tabs>
              <w:tab w:val="center" w:pos="4536"/>
              <w:tab w:val="right" w:pos="9072"/>
            </w:tabs>
            <w:spacing w:after="0" w:line="240" w:lineRule="auto"/>
            <w:ind w:left="0"/>
            <w:jc w:val="right"/>
            <w:rPr>
              <w:sz w:val="14"/>
              <w:szCs w:val="14"/>
              <w:lang w:val="es-ES"/>
            </w:rPr>
          </w:pPr>
        </w:p>
        <w:p w:rsidR="00BD1F1A" w:rsidRPr="00036CF6" w:rsidRDefault="00BD1F1A" w:rsidP="00BD1F1A">
          <w:pPr>
            <w:tabs>
              <w:tab w:val="center" w:pos="4536"/>
              <w:tab w:val="right" w:pos="9072"/>
            </w:tabs>
            <w:spacing w:after="0" w:line="240" w:lineRule="auto"/>
            <w:ind w:left="0"/>
            <w:jc w:val="right"/>
            <w:rPr>
              <w:rFonts w:ascii="Arial" w:eastAsia="Times New Roman" w:hAnsi="Arial" w:cs="Arial"/>
              <w:b/>
              <w:sz w:val="16"/>
              <w:szCs w:val="16"/>
              <w:lang w:val="ro-RO" w:eastAsia="ro-RO"/>
            </w:rPr>
          </w:pPr>
          <w:r>
            <w:rPr>
              <w:sz w:val="14"/>
              <w:szCs w:val="14"/>
              <w:lang w:val="es-ES"/>
            </w:rPr>
            <w:t>COD: FS-01-05-ver.5</w:t>
          </w:r>
        </w:p>
      </w:tc>
    </w:tr>
  </w:tbl>
  <w:p w:rsidR="00BD1F1A" w:rsidRDefault="00BD1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Look w:val="04A0" w:firstRow="1" w:lastRow="0" w:firstColumn="1" w:lastColumn="0" w:noHBand="0" w:noVBand="1"/>
    </w:tblPr>
    <w:tblGrid>
      <w:gridCol w:w="1566"/>
      <w:gridCol w:w="5986"/>
      <w:gridCol w:w="3363"/>
    </w:tblGrid>
    <w:tr w:rsidR="00871FC1" w:rsidRPr="00405B2D" w:rsidTr="002653E8">
      <w:tc>
        <w:tcPr>
          <w:tcW w:w="1566" w:type="dxa"/>
          <w:shd w:val="clear" w:color="auto" w:fill="auto"/>
        </w:tcPr>
        <w:p w:rsidR="00260CC2" w:rsidRDefault="00260CC2" w:rsidP="00260CC2">
          <w:pPr>
            <w:ind w:left="33"/>
          </w:pPr>
          <w:r>
            <w:rPr>
              <w:noProof/>
              <w:lang w:val="ro-RO" w:eastAsia="ro-RO"/>
            </w:rPr>
            <w:drawing>
              <wp:inline distT="0" distB="0" distL="0" distR="0" wp14:anchorId="7835C069" wp14:editId="41236F4F">
                <wp:extent cx="314325" cy="314325"/>
                <wp:effectExtent l="0" t="0" r="9525"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r w:rsidR="0080480E">
            <w:rPr>
              <w:noProof/>
              <w:lang w:val="ro-RO" w:eastAsia="ro-RO"/>
            </w:rPr>
            <w:drawing>
              <wp:inline distT="0" distB="0" distL="0" distR="0" wp14:anchorId="239A6D69" wp14:editId="766411FC">
                <wp:extent cx="311150" cy="311150"/>
                <wp:effectExtent l="0" t="0" r="0"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871FC1" w:rsidRPr="00036CF6" w:rsidRDefault="00871FC1"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871FC1" w:rsidRPr="00036CF6" w:rsidRDefault="00871FC1" w:rsidP="00036CF6">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871FC1" w:rsidRPr="00036CF6" w:rsidRDefault="00871FC1" w:rsidP="00036CF6">
          <w:pPr>
            <w:tabs>
              <w:tab w:val="center" w:pos="4320"/>
              <w:tab w:val="right" w:pos="8640"/>
            </w:tabs>
            <w:spacing w:after="0"/>
            <w:ind w:left="0"/>
            <w:rPr>
              <w:sz w:val="14"/>
              <w:szCs w:val="14"/>
            </w:rPr>
          </w:pPr>
          <w:r w:rsidRPr="00036CF6">
            <w:rPr>
              <w:sz w:val="14"/>
              <w:szCs w:val="14"/>
            </w:rPr>
            <w:t>Tel. +4 037 204 1999</w:t>
          </w:r>
        </w:p>
        <w:p w:rsidR="00871FC1" w:rsidRPr="00036CF6" w:rsidRDefault="00263D77" w:rsidP="00036CF6">
          <w:pPr>
            <w:tabs>
              <w:tab w:val="center" w:pos="4320"/>
              <w:tab w:val="right" w:pos="8640"/>
            </w:tabs>
            <w:spacing w:after="0"/>
            <w:ind w:left="0"/>
            <w:rPr>
              <w:sz w:val="14"/>
              <w:szCs w:val="14"/>
            </w:rPr>
          </w:pPr>
          <w:hyperlink r:id="rId3" w:history="1">
            <w:r w:rsidR="00871FC1" w:rsidRPr="00036CF6">
              <w:rPr>
                <w:color w:val="0000FF" w:themeColor="hyperlink"/>
                <w:sz w:val="14"/>
                <w:szCs w:val="14"/>
                <w:u w:val="single"/>
              </w:rPr>
              <w:t>www.just.ro</w:t>
            </w:r>
          </w:hyperlink>
        </w:p>
        <w:p w:rsidR="00871FC1" w:rsidRPr="00036CF6" w:rsidRDefault="00871FC1" w:rsidP="00036CF6">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3363" w:type="dxa"/>
          <w:shd w:val="clear" w:color="auto" w:fill="auto"/>
        </w:tcPr>
        <w:p w:rsidR="00871FC1" w:rsidRPr="00452DF6" w:rsidRDefault="00871FC1" w:rsidP="00036CF6">
          <w:pPr>
            <w:tabs>
              <w:tab w:val="center" w:pos="4536"/>
              <w:tab w:val="right" w:pos="9072"/>
            </w:tabs>
            <w:spacing w:after="0" w:line="240" w:lineRule="auto"/>
            <w:ind w:left="0"/>
            <w:jc w:val="right"/>
            <w:rPr>
              <w:sz w:val="14"/>
              <w:szCs w:val="14"/>
              <w:lang w:val="es-ES"/>
            </w:rPr>
          </w:pPr>
          <w:proofErr w:type="spellStart"/>
          <w:r w:rsidRPr="00452DF6">
            <w:rPr>
              <w:sz w:val="14"/>
              <w:szCs w:val="14"/>
              <w:lang w:val="es-ES"/>
            </w:rPr>
            <w:t>Pagina</w:t>
          </w:r>
          <w:proofErr w:type="spellEnd"/>
          <w:r w:rsidRPr="00452DF6">
            <w:rPr>
              <w:sz w:val="14"/>
              <w:szCs w:val="14"/>
              <w:lang w:val="es-ES"/>
            </w:rPr>
            <w:t xml:space="preserve"> </w:t>
          </w:r>
          <w:r w:rsidRPr="00036CF6">
            <w:rPr>
              <w:sz w:val="14"/>
              <w:szCs w:val="14"/>
            </w:rPr>
            <w:fldChar w:fldCharType="begin"/>
          </w:r>
          <w:r w:rsidRPr="00452DF6">
            <w:rPr>
              <w:sz w:val="14"/>
              <w:szCs w:val="14"/>
              <w:lang w:val="es-ES"/>
            </w:rPr>
            <w:instrText xml:space="preserve"> PAGE </w:instrText>
          </w:r>
          <w:r w:rsidRPr="00036CF6">
            <w:rPr>
              <w:sz w:val="14"/>
              <w:szCs w:val="14"/>
            </w:rPr>
            <w:fldChar w:fldCharType="separate"/>
          </w:r>
          <w:r w:rsidR="0080480E">
            <w:rPr>
              <w:noProof/>
              <w:sz w:val="14"/>
              <w:szCs w:val="14"/>
              <w:lang w:val="es-ES"/>
            </w:rPr>
            <w:t>1</w:t>
          </w:r>
          <w:r w:rsidRPr="00036CF6">
            <w:rPr>
              <w:sz w:val="14"/>
              <w:szCs w:val="14"/>
            </w:rPr>
            <w:fldChar w:fldCharType="end"/>
          </w:r>
          <w:r w:rsidRPr="00452DF6">
            <w:rPr>
              <w:sz w:val="14"/>
              <w:szCs w:val="14"/>
              <w:lang w:val="es-ES"/>
            </w:rPr>
            <w:t xml:space="preserve"> din </w:t>
          </w:r>
          <w:r w:rsidRPr="00036CF6">
            <w:rPr>
              <w:sz w:val="14"/>
              <w:szCs w:val="14"/>
            </w:rPr>
            <w:fldChar w:fldCharType="begin"/>
          </w:r>
          <w:r w:rsidRPr="00452DF6">
            <w:rPr>
              <w:sz w:val="14"/>
              <w:szCs w:val="14"/>
              <w:lang w:val="es-ES"/>
            </w:rPr>
            <w:instrText xml:space="preserve"> SECTIONPAGES   \* MERGEFORMAT </w:instrText>
          </w:r>
          <w:r w:rsidRPr="00036CF6">
            <w:rPr>
              <w:sz w:val="14"/>
              <w:szCs w:val="14"/>
            </w:rPr>
            <w:fldChar w:fldCharType="separate"/>
          </w:r>
          <w:r w:rsidR="00D44926">
            <w:rPr>
              <w:noProof/>
              <w:sz w:val="14"/>
              <w:szCs w:val="14"/>
              <w:lang w:val="es-ES"/>
            </w:rPr>
            <w:t>2</w:t>
          </w:r>
          <w:r w:rsidRPr="00036CF6">
            <w:rPr>
              <w:sz w:val="14"/>
              <w:szCs w:val="14"/>
            </w:rPr>
            <w:fldChar w:fldCharType="end"/>
          </w:r>
        </w:p>
        <w:p w:rsidR="00871FC1" w:rsidRPr="00452DF6" w:rsidRDefault="00871FC1" w:rsidP="00036CF6">
          <w:pPr>
            <w:tabs>
              <w:tab w:val="center" w:pos="4536"/>
              <w:tab w:val="right" w:pos="9072"/>
            </w:tabs>
            <w:spacing w:after="0" w:line="240" w:lineRule="auto"/>
            <w:ind w:left="0"/>
            <w:jc w:val="right"/>
            <w:rPr>
              <w:sz w:val="14"/>
              <w:szCs w:val="14"/>
              <w:lang w:val="es-ES"/>
            </w:rPr>
          </w:pPr>
        </w:p>
        <w:p w:rsidR="00871FC1" w:rsidRPr="00036CF6" w:rsidRDefault="00327FF6" w:rsidP="00871FC1">
          <w:pPr>
            <w:tabs>
              <w:tab w:val="center" w:pos="4536"/>
              <w:tab w:val="right" w:pos="9072"/>
            </w:tabs>
            <w:spacing w:after="0" w:line="240" w:lineRule="auto"/>
            <w:ind w:left="0"/>
            <w:jc w:val="right"/>
            <w:rPr>
              <w:rFonts w:ascii="Arial" w:eastAsia="Times New Roman" w:hAnsi="Arial" w:cs="Arial"/>
              <w:b/>
              <w:sz w:val="16"/>
              <w:szCs w:val="16"/>
              <w:lang w:val="ro-RO" w:eastAsia="ro-RO"/>
            </w:rPr>
          </w:pPr>
          <w:r>
            <w:rPr>
              <w:sz w:val="14"/>
              <w:szCs w:val="14"/>
              <w:lang w:val="es-ES"/>
            </w:rPr>
            <w:t>COD: FS-01-05-ver.5</w:t>
          </w:r>
        </w:p>
      </w:tc>
    </w:tr>
  </w:tbl>
  <w:p w:rsidR="00871FC1" w:rsidRPr="005848A2" w:rsidRDefault="00871FC1" w:rsidP="0064218B">
    <w:pP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D77" w:rsidRDefault="00263D77" w:rsidP="00E06A2C">
      <w:pPr>
        <w:spacing w:after="0"/>
        <w:ind w:left="0"/>
      </w:pPr>
      <w:r>
        <w:separator/>
      </w:r>
    </w:p>
  </w:footnote>
  <w:footnote w:type="continuationSeparator" w:id="0">
    <w:p w:rsidR="00263D77" w:rsidRDefault="00263D77" w:rsidP="00E06A2C">
      <w:pPr>
        <w:ind w:left="0"/>
      </w:pPr>
      <w:r>
        <w:continuationSeparator/>
      </w:r>
    </w:p>
  </w:footnote>
  <w:footnote w:type="continuationNotice" w:id="1">
    <w:p w:rsidR="00263D77" w:rsidRDefault="00263D77" w:rsidP="00E06A2C">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C1" w:rsidRDefault="00871FC1" w:rsidP="008A4458">
    <w:pPr>
      <w:pStyle w:val="Header"/>
      <w:ind w:left="0"/>
    </w:pPr>
  </w:p>
  <w:p w:rsidR="00871FC1" w:rsidRPr="00CD5B3B" w:rsidRDefault="00871FC1" w:rsidP="008A4458">
    <w:pPr>
      <w:pStyle w:val="Header"/>
      <w:ind w:left="0"/>
    </w:pPr>
    <w:r>
      <w:rPr>
        <w:noProof/>
        <w:lang w:val="ro-RO" w:eastAsia="ro-RO"/>
      </w:rPr>
      <w:drawing>
        <wp:inline distT="0" distB="0" distL="0" distR="0" wp14:anchorId="2B18CA6B" wp14:editId="711A4143">
          <wp:extent cx="1959610" cy="201930"/>
          <wp:effectExtent l="0" t="0" r="2540" b="7620"/>
          <wp:docPr id="9" name="Picture 31" descr="D:\Profiles\Viorel.Streza\Desktop\template min 4 radu\logo_antet\logo_antet_MJ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rofiles\Viorel.Streza\Desktop\template min 4 radu\logo_antet\logo_antet_MJ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201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C1" w:rsidRPr="00405B2D" w:rsidRDefault="00405B2D" w:rsidP="00405B2D">
    <w:pPr>
      <w:pStyle w:val="Header"/>
      <w:tabs>
        <w:tab w:val="clear" w:pos="8640"/>
      </w:tabs>
      <w:ind w:left="-1701" w:right="-291"/>
    </w:pPr>
    <w:r>
      <w:rPr>
        <w:noProof/>
        <w:lang w:val="ro-RO" w:eastAsia="ro-RO"/>
      </w:rPr>
      <w:drawing>
        <wp:inline distT="0" distB="0" distL="0" distR="0" wp14:anchorId="6E6837BF" wp14:editId="2F2F8696">
          <wp:extent cx="2816860" cy="902335"/>
          <wp:effectExtent l="0" t="0" r="254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r>
      <w:rPr>
        <w:noProof/>
        <w:lang w:val="ro-RO" w:eastAsia="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A17FF"/>
    <w:multiLevelType w:val="hybridMultilevel"/>
    <w:tmpl w:val="AF4C8476"/>
    <w:lvl w:ilvl="0" w:tplc="0409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23330"/>
    <w:rsid w:val="00036CF6"/>
    <w:rsid w:val="000A06C2"/>
    <w:rsid w:val="000B5F93"/>
    <w:rsid w:val="000E5E43"/>
    <w:rsid w:val="000F52D3"/>
    <w:rsid w:val="00100F36"/>
    <w:rsid w:val="00101A43"/>
    <w:rsid w:val="00101E48"/>
    <w:rsid w:val="001266FA"/>
    <w:rsid w:val="001313F2"/>
    <w:rsid w:val="00212A34"/>
    <w:rsid w:val="00260CC2"/>
    <w:rsid w:val="00263D77"/>
    <w:rsid w:val="002653E8"/>
    <w:rsid w:val="0026643B"/>
    <w:rsid w:val="00267D46"/>
    <w:rsid w:val="002A5742"/>
    <w:rsid w:val="002B0AF2"/>
    <w:rsid w:val="002B2D08"/>
    <w:rsid w:val="002B6AF3"/>
    <w:rsid w:val="002C400C"/>
    <w:rsid w:val="002C5E09"/>
    <w:rsid w:val="00304D05"/>
    <w:rsid w:val="00312E32"/>
    <w:rsid w:val="00317136"/>
    <w:rsid w:val="0032422C"/>
    <w:rsid w:val="00327FF6"/>
    <w:rsid w:val="00331E8F"/>
    <w:rsid w:val="00331F48"/>
    <w:rsid w:val="003406E1"/>
    <w:rsid w:val="00377C44"/>
    <w:rsid w:val="00405B2D"/>
    <w:rsid w:val="004278D2"/>
    <w:rsid w:val="00452DF6"/>
    <w:rsid w:val="004608DF"/>
    <w:rsid w:val="00462299"/>
    <w:rsid w:val="00474F80"/>
    <w:rsid w:val="004914E8"/>
    <w:rsid w:val="00493AD5"/>
    <w:rsid w:val="004A4A94"/>
    <w:rsid w:val="004C1753"/>
    <w:rsid w:val="004F094D"/>
    <w:rsid w:val="00523C70"/>
    <w:rsid w:val="00543045"/>
    <w:rsid w:val="005848A2"/>
    <w:rsid w:val="005E5412"/>
    <w:rsid w:val="005E6FFA"/>
    <w:rsid w:val="00604DD4"/>
    <w:rsid w:val="0064218B"/>
    <w:rsid w:val="00662077"/>
    <w:rsid w:val="00677FEB"/>
    <w:rsid w:val="006A018E"/>
    <w:rsid w:val="006A263E"/>
    <w:rsid w:val="006B528B"/>
    <w:rsid w:val="00705CEB"/>
    <w:rsid w:val="00722BEC"/>
    <w:rsid w:val="00725F2C"/>
    <w:rsid w:val="00743D2D"/>
    <w:rsid w:val="00766E0E"/>
    <w:rsid w:val="0077516C"/>
    <w:rsid w:val="00783581"/>
    <w:rsid w:val="007B3009"/>
    <w:rsid w:val="007B625E"/>
    <w:rsid w:val="0080480E"/>
    <w:rsid w:val="00821655"/>
    <w:rsid w:val="008231E2"/>
    <w:rsid w:val="00831A4E"/>
    <w:rsid w:val="00835599"/>
    <w:rsid w:val="00840F14"/>
    <w:rsid w:val="00861DE2"/>
    <w:rsid w:val="00871DA8"/>
    <w:rsid w:val="00871FC1"/>
    <w:rsid w:val="008912B6"/>
    <w:rsid w:val="008A2AC0"/>
    <w:rsid w:val="008A4458"/>
    <w:rsid w:val="008B63B2"/>
    <w:rsid w:val="008E09D0"/>
    <w:rsid w:val="008E71A5"/>
    <w:rsid w:val="00915096"/>
    <w:rsid w:val="00927141"/>
    <w:rsid w:val="00932975"/>
    <w:rsid w:val="0094530E"/>
    <w:rsid w:val="009727BD"/>
    <w:rsid w:val="009B26D0"/>
    <w:rsid w:val="009B4F4C"/>
    <w:rsid w:val="009C03A1"/>
    <w:rsid w:val="009D57F4"/>
    <w:rsid w:val="009D7209"/>
    <w:rsid w:val="009E7609"/>
    <w:rsid w:val="009F7FDF"/>
    <w:rsid w:val="00A13890"/>
    <w:rsid w:val="00A15988"/>
    <w:rsid w:val="00A21436"/>
    <w:rsid w:val="00A223E9"/>
    <w:rsid w:val="00A50C4C"/>
    <w:rsid w:val="00A5589B"/>
    <w:rsid w:val="00A7669D"/>
    <w:rsid w:val="00A853ED"/>
    <w:rsid w:val="00AC3A35"/>
    <w:rsid w:val="00AE26B4"/>
    <w:rsid w:val="00B13BB4"/>
    <w:rsid w:val="00B16F0A"/>
    <w:rsid w:val="00B21F71"/>
    <w:rsid w:val="00B3065C"/>
    <w:rsid w:val="00B60596"/>
    <w:rsid w:val="00B60F95"/>
    <w:rsid w:val="00BD1F1A"/>
    <w:rsid w:val="00C05271"/>
    <w:rsid w:val="00C05F49"/>
    <w:rsid w:val="00C206F7"/>
    <w:rsid w:val="00C20EF1"/>
    <w:rsid w:val="00C54591"/>
    <w:rsid w:val="00CA37EF"/>
    <w:rsid w:val="00CC7859"/>
    <w:rsid w:val="00CD0C6C"/>
    <w:rsid w:val="00CD0F06"/>
    <w:rsid w:val="00CD5B3B"/>
    <w:rsid w:val="00D0182A"/>
    <w:rsid w:val="00D06E9C"/>
    <w:rsid w:val="00D10234"/>
    <w:rsid w:val="00D240CB"/>
    <w:rsid w:val="00D434B8"/>
    <w:rsid w:val="00D44926"/>
    <w:rsid w:val="00D50351"/>
    <w:rsid w:val="00D86F1D"/>
    <w:rsid w:val="00DC39D2"/>
    <w:rsid w:val="00DD27CB"/>
    <w:rsid w:val="00DF05AA"/>
    <w:rsid w:val="00DF0E94"/>
    <w:rsid w:val="00E06A2C"/>
    <w:rsid w:val="00E562FC"/>
    <w:rsid w:val="00E56667"/>
    <w:rsid w:val="00E80A27"/>
    <w:rsid w:val="00E80D5E"/>
    <w:rsid w:val="00E870FD"/>
    <w:rsid w:val="00E94670"/>
    <w:rsid w:val="00EA0F6C"/>
    <w:rsid w:val="00EB05AF"/>
    <w:rsid w:val="00EB710B"/>
    <w:rsid w:val="00ED56C3"/>
    <w:rsid w:val="00EE32F2"/>
    <w:rsid w:val="00F56471"/>
    <w:rsid w:val="00F67D20"/>
    <w:rsid w:val="00FA7368"/>
    <w:rsid w:val="00FB6D27"/>
    <w:rsid w:val="00FC0F5B"/>
    <w:rsid w:val="00FC4284"/>
    <w:rsid w:val="00FC7D65"/>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F4C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AF2"/>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BodyTextIndent2">
    <w:name w:val="Body Text Indent 2"/>
    <w:basedOn w:val="Normal"/>
    <w:link w:val="BodyTextIndent2Char"/>
    <w:rsid w:val="0064218B"/>
    <w:pPr>
      <w:spacing w:line="480" w:lineRule="auto"/>
      <w:ind w:left="283"/>
      <w:jc w:val="left"/>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64218B"/>
    <w:rPr>
      <w:rFonts w:ascii="Times New Roman" w:eastAsia="Times New Roman" w:hAnsi="Times New Roman"/>
    </w:rPr>
  </w:style>
  <w:style w:type="paragraph" w:styleId="FootnoteText">
    <w:name w:val="footnote text"/>
    <w:basedOn w:val="Normal"/>
    <w:link w:val="FootnoteTextChar"/>
    <w:uiPriority w:val="99"/>
    <w:semiHidden/>
    <w:unhideWhenUsed/>
    <w:rsid w:val="00D50351"/>
    <w:pPr>
      <w:ind w:left="0"/>
    </w:pPr>
    <w:rPr>
      <w:sz w:val="16"/>
      <w:szCs w:val="20"/>
    </w:rPr>
  </w:style>
  <w:style w:type="character" w:customStyle="1" w:styleId="FootnoteTextChar">
    <w:name w:val="Footnote Text Char"/>
    <w:basedOn w:val="DefaultParagraphFont"/>
    <w:link w:val="FootnoteText"/>
    <w:uiPriority w:val="99"/>
    <w:semiHidden/>
    <w:rsid w:val="00D50351"/>
    <w:rPr>
      <w:rFonts w:ascii="Trebuchet MS" w:hAnsi="Trebuchet MS"/>
      <w:sz w:val="16"/>
    </w:rPr>
  </w:style>
  <w:style w:type="character" w:styleId="FootnoteReference">
    <w:name w:val="footnote reference"/>
    <w:basedOn w:val="DefaultParagraphFont"/>
    <w:uiPriority w:val="99"/>
    <w:semiHidden/>
    <w:unhideWhenUsed/>
    <w:rsid w:val="00E06A2C"/>
    <w:rPr>
      <w:rFonts w:ascii="Trebuchet MS" w:hAnsi="Trebuchet MS"/>
      <w:sz w:val="22"/>
      <w:vertAlign w:val="superscript"/>
    </w:rPr>
  </w:style>
  <w:style w:type="table" w:customStyle="1" w:styleId="Tabelgril1">
    <w:name w:val="Tabel grilă1"/>
    <w:basedOn w:val="TableNormal"/>
    <w:next w:val="TableGrid"/>
    <w:uiPriority w:val="59"/>
    <w:rsid w:val="00523C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D65"/>
    <w:rPr>
      <w:sz w:val="16"/>
      <w:szCs w:val="16"/>
    </w:rPr>
  </w:style>
  <w:style w:type="paragraph" w:styleId="CommentText">
    <w:name w:val="annotation text"/>
    <w:basedOn w:val="Normal"/>
    <w:link w:val="CommentTextChar"/>
    <w:uiPriority w:val="99"/>
    <w:semiHidden/>
    <w:unhideWhenUsed/>
    <w:rsid w:val="00FC7D65"/>
    <w:pPr>
      <w:spacing w:after="160" w:line="240" w:lineRule="auto"/>
      <w:ind w:left="0"/>
      <w:jc w:val="left"/>
    </w:pPr>
    <w:rPr>
      <w:rFonts w:asciiTheme="minorHAnsi" w:eastAsiaTheme="minorHAnsi" w:hAnsiTheme="minorHAnsi" w:cstheme="minorBidi"/>
      <w:sz w:val="20"/>
      <w:szCs w:val="20"/>
      <w:lang w:val="ro-RO"/>
    </w:rPr>
  </w:style>
  <w:style w:type="character" w:customStyle="1" w:styleId="CommentTextChar">
    <w:name w:val="Comment Text Char"/>
    <w:basedOn w:val="DefaultParagraphFont"/>
    <w:link w:val="CommentText"/>
    <w:uiPriority w:val="99"/>
    <w:semiHidden/>
    <w:rsid w:val="00FC7D65"/>
    <w:rPr>
      <w:rFonts w:asciiTheme="minorHAnsi" w:eastAsiaTheme="minorHAnsi" w:hAnsiTheme="minorHAnsi" w:cstheme="minorBidi"/>
      <w:lang w:val="ro-RO"/>
    </w:rPr>
  </w:style>
  <w:style w:type="paragraph" w:styleId="ListParagraph">
    <w:name w:val="List Paragraph"/>
    <w:basedOn w:val="Normal"/>
    <w:uiPriority w:val="34"/>
    <w:qFormat/>
    <w:rsid w:val="001266FA"/>
    <w:pPr>
      <w:spacing w:after="160" w:line="259" w:lineRule="auto"/>
      <w:ind w:left="720"/>
      <w:contextualSpacing/>
      <w:jc w:val="left"/>
    </w:pPr>
    <w:rPr>
      <w:rFonts w:asciiTheme="minorHAnsi" w:eastAsiaTheme="minorHAnsi" w:hAnsiTheme="minorHAnsi" w:cstheme="minorBidi"/>
      <w:lang w:val="ro-RO"/>
    </w:rPr>
  </w:style>
  <w:style w:type="character" w:customStyle="1" w:styleId="do1">
    <w:name w:val="do1"/>
    <w:basedOn w:val="DefaultParagraphFont"/>
    <w:rsid w:val="009727BD"/>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just.ro"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just.ro"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BCC4-45F5-44E9-80B7-0FE729ED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Pages>
  <Words>972</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6501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MJ</cp:lastModifiedBy>
  <cp:revision>2</cp:revision>
  <cp:lastPrinted>2014-03-11T14:29:00Z</cp:lastPrinted>
  <dcterms:created xsi:type="dcterms:W3CDTF">2020-10-12T07:28:00Z</dcterms:created>
  <dcterms:modified xsi:type="dcterms:W3CDTF">2020-10-12T07:28:00Z</dcterms:modified>
</cp:coreProperties>
</file>