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8" name="Imagine 18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E2826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ORDONANŢĂ nr. 4 din 29 martie 2020 MILITARĂ privind măsuri de prevenire a răspândirii COVID-19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" w:name="do|pa1"/>
      <w:bookmarkEnd w:id="1"/>
      <w:r w:rsidRPr="00DE2826">
        <w:rPr>
          <w:rFonts w:ascii="Verdana" w:eastAsia="Times New Roman" w:hAnsi="Verdana" w:cs="Times New Roman"/>
          <w:lang w:eastAsia="ro-RO"/>
        </w:rPr>
        <w:t xml:space="preserve">Având în vedere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dispoziţiile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art. 24 din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6" w:history="1">
        <w:r w:rsidRPr="00DE2826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1/1999</w:t>
        </w:r>
      </w:hyperlink>
      <w:r w:rsidRPr="00DE2826">
        <w:rPr>
          <w:rFonts w:ascii="Verdana" w:eastAsia="Times New Roman" w:hAnsi="Verdana" w:cs="Times New Roman"/>
          <w:lang w:eastAsia="ro-RO"/>
        </w:rPr>
        <w:t xml:space="preserve"> privind regimul stării de asediu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regimul stării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, publicată în Monitorul Oficial al României, Partea I, nr. 22 din 21 ianuarie 1999, aprobată cu modificări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7" w:history="1">
        <w:r w:rsidRPr="00DE2826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453/2004</w:t>
        </w:r>
      </w:hyperlink>
      <w:r w:rsidRPr="00DE2826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completările ulterioare,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pa2"/>
      <w:bookmarkEnd w:id="2"/>
      <w:proofErr w:type="spellStart"/>
      <w:r w:rsidRPr="00DE2826">
        <w:rPr>
          <w:rFonts w:ascii="Verdana" w:eastAsia="Times New Roman" w:hAnsi="Verdana" w:cs="Times New Roman"/>
          <w:lang w:eastAsia="ro-RO"/>
        </w:rPr>
        <w:t>ţinând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seama de evaluarea realizată de Comitetul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Speciale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>, aprobată prin Hotărârea nr. 15 din 29.03.2020,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pa3"/>
      <w:bookmarkEnd w:id="3"/>
      <w:r w:rsidRPr="00DE2826">
        <w:rPr>
          <w:rFonts w:ascii="Verdana" w:eastAsia="Times New Roman" w:hAnsi="Verdana" w:cs="Times New Roman"/>
          <w:lang w:eastAsia="ro-RO"/>
        </w:rPr>
        <w:t xml:space="preserve">în temeiul art. 4 alin. (2)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(4) din Decretul nr. </w:t>
      </w:r>
      <w:hyperlink r:id="rId8" w:history="1">
        <w:r w:rsidRPr="00DE2826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195/2020</w:t>
        </w:r>
      </w:hyperlink>
      <w:r w:rsidRPr="00DE2826">
        <w:rPr>
          <w:rFonts w:ascii="Verdana" w:eastAsia="Times New Roman" w:hAnsi="Verdana" w:cs="Times New Roman"/>
          <w:lang w:eastAsia="ro-RO"/>
        </w:rPr>
        <w:t xml:space="preserve"> privind instituirea stării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la nivel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, publicat în Monitorul Oficial al României, Partea I, nr. 212 din 16 martie 2020, al pct. 1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3 din anexa nr. 2 la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acelaşi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decret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al art. 20 lit. n) din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9" w:history="1">
        <w:r w:rsidRPr="00DE2826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1/1999</w:t>
        </w:r>
      </w:hyperlink>
      <w:r w:rsidRPr="00DE2826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completările ulterioare,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pa4"/>
      <w:bookmarkEnd w:id="4"/>
      <w:r w:rsidRPr="00DE2826">
        <w:rPr>
          <w:rFonts w:ascii="Verdana" w:eastAsia="Times New Roman" w:hAnsi="Verdana" w:cs="Times New Roman"/>
          <w:b/>
          <w:bCs/>
          <w:lang w:eastAsia="ro-RO"/>
        </w:rPr>
        <w:t>ministrul afacerilor interne</w:t>
      </w:r>
      <w:r w:rsidRPr="00DE2826">
        <w:rPr>
          <w:rFonts w:ascii="Verdana" w:eastAsia="Times New Roman" w:hAnsi="Verdana" w:cs="Times New Roman"/>
          <w:lang w:eastAsia="ro-RO"/>
        </w:rPr>
        <w:t xml:space="preserve"> emite următoarea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militară: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ar1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7" name="Imagine 17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  <w:r w:rsidRPr="00DE2826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ar1|al1"/>
      <w:bookmarkEnd w:id="6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Circulaţia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persoanelor care au împlinit vârsta de 65 de ani, în exteriorul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locuinţei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/gospodăriei, este permisă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în afara intervalului orar 11,00-13,00 dacă aceasta se face pentru rezolvarea problemelor de natură medicală, precum tratamentele oncologice planificate, dializă etc., folosind mijloacele proprii de deplasare sau ale familiei/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susţinătorilor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sau, după caz, mijloacele de transport sanitar special destinat.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ar1|al2"/>
      <w:bookmarkEnd w:id="7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DE2826">
        <w:rPr>
          <w:rFonts w:ascii="Verdana" w:eastAsia="Times New Roman" w:hAnsi="Verdana" w:cs="Times New Roman"/>
          <w:lang w:eastAsia="ro-RO"/>
        </w:rPr>
        <w:t xml:space="preserve">Pentru verificarea motivului deplasării în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situaţiile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prevăzute la alin. (1) se prezintă o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declaraţie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pe propria răspundere completată în prealabil, care trebuie să cuprindă numele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prenumele, data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naşterii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, adresa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locuinţei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, motivul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locul deplasării, data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semnătura.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ar1|al3"/>
      <w:bookmarkEnd w:id="8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Circulaţia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persoanelor prevăzute la alin. (1), în afara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locuinţei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/gospodăriei, este permisă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în intervalul orar 20,00-21,00, dacă aceasta se face pentru a asigura nevoile animalelor de companie/domestice doar în proximitatea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locuinţei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/ gospodăriei.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Declaraţia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pentru acest interval orar nu este necesară atunci când deplasarea se face în acest scop.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r1|al4"/>
      <w:bookmarkEnd w:id="9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r w:rsidRPr="00DE2826">
        <w:rPr>
          <w:rFonts w:ascii="Verdana" w:eastAsia="Times New Roman" w:hAnsi="Verdana" w:cs="Times New Roman"/>
          <w:lang w:eastAsia="ro-RO"/>
        </w:rPr>
        <w:t xml:space="preserve">Măsurile se aplică începând cu data publicării prezentei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militare în Monitorul Oficial al României, Partea I.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r2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6" name="Imagine 16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  <w:r w:rsidRPr="00DE2826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r2|al1"/>
      <w:bookmarkEnd w:id="11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DE2826">
        <w:rPr>
          <w:rFonts w:ascii="Verdana" w:eastAsia="Times New Roman" w:hAnsi="Verdana" w:cs="Times New Roman"/>
          <w:lang w:eastAsia="ro-RO"/>
        </w:rPr>
        <w:t xml:space="preserve">Operatorii economici care comercializează alimente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produse de strictă necesitate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care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activitatea în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dispuse prin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militare în perioada stării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vor organiza programul de lucru pentru a facilita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 asigura, cu prioritate, accesul persoanelor de peste 65 de ani în intervalul orar 11,00-13,00, limitând, în acest interval, accesul persoanelor din alte categorii de vârstă.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r2|al2"/>
      <w:bookmarkEnd w:id="12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DE2826">
        <w:rPr>
          <w:rFonts w:ascii="Verdana" w:eastAsia="Times New Roman" w:hAnsi="Verdana" w:cs="Times New Roman"/>
          <w:lang w:eastAsia="ro-RO"/>
        </w:rPr>
        <w:t>Măsura se aplică începând cu data de 30 martie 2020.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r3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5" name="Imagine 15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  <w:r w:rsidRPr="00DE2826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r3|al1"/>
      <w:bookmarkEnd w:id="14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DE2826">
        <w:rPr>
          <w:rFonts w:ascii="Verdana" w:eastAsia="Times New Roman" w:hAnsi="Verdana" w:cs="Times New Roman"/>
          <w:lang w:eastAsia="ro-RO"/>
        </w:rPr>
        <w:t xml:space="preserve">Persoanele care părăsesc locul în care au fost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carantinate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, fără aprobarea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competente, vor fi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sancţionate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contravenţional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conform prevederilor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Ordonanţei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10" w:history="1">
        <w:r w:rsidRPr="00DE2826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1/1999</w:t>
        </w:r>
      </w:hyperlink>
      <w:r w:rsidRPr="00DE2826">
        <w:rPr>
          <w:rFonts w:ascii="Verdana" w:eastAsia="Times New Roman" w:hAnsi="Verdana" w:cs="Times New Roman"/>
          <w:lang w:eastAsia="ro-RO"/>
        </w:rPr>
        <w:t xml:space="preserve"> privind regimul stării de asediu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regimul stării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vor fi obligate să reia ciclul de 14 zile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carantinare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, suportând cheltuielile efectuate cu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carantinarea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lor.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r3|al2"/>
      <w:bookmarkEnd w:id="15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DE2826">
        <w:rPr>
          <w:rFonts w:ascii="Verdana" w:eastAsia="Times New Roman" w:hAnsi="Verdana" w:cs="Times New Roman"/>
          <w:lang w:eastAsia="ro-RO"/>
        </w:rPr>
        <w:t xml:space="preserve">Persoanele care nu respectă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izolării la domiciliu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sunt identificate în afara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izolare vor fi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sancţionate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contravenţional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conform prevederilor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Ordonanţei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11" w:history="1">
        <w:r w:rsidRPr="00DE2826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1/1999</w:t>
        </w:r>
      </w:hyperlink>
      <w:r w:rsidRPr="00DE2826">
        <w:rPr>
          <w:rFonts w:ascii="Verdana" w:eastAsia="Times New Roman" w:hAnsi="Verdana" w:cs="Times New Roman"/>
          <w:lang w:eastAsia="ro-RO"/>
        </w:rPr>
        <w:t xml:space="preserve"> privind regimul stării de asediu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regimul stării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vor fi </w:t>
      </w:r>
      <w:r w:rsidRPr="00DE2826">
        <w:rPr>
          <w:rFonts w:ascii="Verdana" w:eastAsia="Times New Roman" w:hAnsi="Verdana" w:cs="Times New Roman"/>
          <w:lang w:eastAsia="ro-RO"/>
        </w:rPr>
        <w:lastRenderedPageBreak/>
        <w:t xml:space="preserve">obligate să intre în carantină 14 zile, suportând cheltuielile efectuate cu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carantinarea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lor.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r3|al3"/>
      <w:bookmarkEnd w:id="16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DE2826">
        <w:rPr>
          <w:rFonts w:ascii="Verdana" w:eastAsia="Times New Roman" w:hAnsi="Verdana" w:cs="Times New Roman"/>
          <w:lang w:eastAsia="ro-RO"/>
        </w:rPr>
        <w:t xml:space="preserve">Măsurile se aplică începând cu data publicării prezentei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militare în Monitorul Oficial al României, Partea I.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r4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4" name="Imagine 14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  <w:r w:rsidRPr="00DE2826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ar4|al1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3" name="Imagine 13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al1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DE2826">
        <w:rPr>
          <w:rFonts w:ascii="Verdana" w:eastAsia="Times New Roman" w:hAnsi="Verdana" w:cs="Times New Roman"/>
          <w:lang w:eastAsia="ro-RO"/>
        </w:rPr>
        <w:t xml:space="preserve">La intrarea în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ţară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, pentru protejarea propriilor familii, conducătorii autovehiculelor de transport marfă cu capacitatea maximă autorizată mai mare de 2,4 tone optează pentru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carantinare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/izolare, dar nu mai mult de 14 zile, în perioada dintre curse, pentru una dintre următoarele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modalităţi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împotriva răspândirii COVID-19: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ar4|al1|lia"/>
      <w:bookmarkEnd w:id="19"/>
      <w:r w:rsidRPr="00DE2826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carantinarea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puse la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dispoziţie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către angajator;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" w:name="do|ar4|al1|lib"/>
      <w:bookmarkEnd w:id="20"/>
      <w:r w:rsidRPr="00DE2826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DE2826">
        <w:rPr>
          <w:rFonts w:ascii="Verdana" w:eastAsia="Times New Roman" w:hAnsi="Verdana" w:cs="Times New Roman"/>
          <w:lang w:eastAsia="ro-RO"/>
        </w:rPr>
        <w:t xml:space="preserve">izolarea la domiciliu împreună cu toate persoanele cu care locuiesc/se gospodăresc sau singuri, în alt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spaţiu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locativ disponibil;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ar4|al1|lic"/>
      <w:bookmarkEnd w:id="21"/>
      <w:r w:rsidRPr="00DE2826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carantinarea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la cerere, în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puse la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dispoziţie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administraţiei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publice, cu suportarea cheltuielilor aferente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carantinării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>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" w:name="do|ar4|al2"/>
      <w:bookmarkEnd w:id="22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Opţiunea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pentru una dintre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modalităţile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prevăzute la alin. (1) se materializează prin completarea, de către conducătorii autovehiculelor de transport marfă cu capacitatea maximă autorizată mai mare de 2,4 tone, a unei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declaraţii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pe propria răspundere prin care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asumă una dintre cele 3 variante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carantinare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>/izolare.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3" w:name="do|ar4|al3"/>
      <w:bookmarkEnd w:id="23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DE2826">
        <w:rPr>
          <w:rFonts w:ascii="Verdana" w:eastAsia="Times New Roman" w:hAnsi="Verdana" w:cs="Times New Roman"/>
          <w:lang w:eastAsia="ro-RO"/>
        </w:rPr>
        <w:t xml:space="preserve">Prevederile alin. (1)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(2) se aplică în mod corespunzător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piloţilor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aeronave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personalului navigant.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4" w:name="do|ar4|al4"/>
      <w:bookmarkEnd w:id="24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r w:rsidRPr="00DE2826">
        <w:rPr>
          <w:rFonts w:ascii="Verdana" w:eastAsia="Times New Roman" w:hAnsi="Verdana" w:cs="Times New Roman"/>
          <w:lang w:eastAsia="ro-RO"/>
        </w:rPr>
        <w:t>Măsura se aplică începând cu data de 31 martie 2020.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5" w:name="do|ar5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2" name="Imagine 12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5"/>
      <w:r w:rsidRPr="00DE2826">
        <w:rPr>
          <w:rFonts w:ascii="Verdana" w:eastAsia="Times New Roman" w:hAnsi="Verdana" w:cs="Times New Roman"/>
          <w:b/>
          <w:bCs/>
          <w:color w:val="0000AF"/>
          <w:lang w:eastAsia="ro-RO"/>
        </w:rPr>
        <w:t>Art. 5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6" w:name="do|ar5|al1"/>
      <w:bookmarkEnd w:id="26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DE2826">
        <w:rPr>
          <w:rFonts w:ascii="Verdana" w:eastAsia="Times New Roman" w:hAnsi="Verdana" w:cs="Times New Roman"/>
          <w:lang w:eastAsia="ro-RO"/>
        </w:rPr>
        <w:t xml:space="preserve">Se instituie, pentru o perioadă stabilită de angajator, măsuri de izolare preventivă la locul de muncă sau în zone special dedicate în care nu au acces persoane din exterior, pentru personalul care ocupă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funcţii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esenţiale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pentru asigurarea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funcţionării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producţiei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, transportului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distribuţiei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energiei electrice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gazelor naturale, 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întreţinere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mentenanţă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 echipamentelor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instalaţiilor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specifice, precum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 celorlalte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aprovizionare, respectiv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extracţie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producţie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procesare a resurselor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materiilor prime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/sau semiprocesate energetice necesare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funcţionării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corespunzătoare Sistemului energetic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concordanţă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cu prevederile planurilor proprii de continuitate 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bază în cazul instituirii stării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pe teritoriul României.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7" w:name="do|ar5|al2"/>
      <w:bookmarkEnd w:id="27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DE2826">
        <w:rPr>
          <w:rFonts w:ascii="Verdana" w:eastAsia="Times New Roman" w:hAnsi="Verdana" w:cs="Times New Roman"/>
          <w:lang w:eastAsia="ro-RO"/>
        </w:rPr>
        <w:t xml:space="preserve">Refuzul izolării preventive de către personalul prevăzut la alin. (1) atrage răspunderea disciplinară, civilă,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contravenţională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sau penală, după caz.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8" w:name="do|ar5|al3"/>
      <w:bookmarkEnd w:id="28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DE2826">
        <w:rPr>
          <w:rFonts w:ascii="Verdana" w:eastAsia="Times New Roman" w:hAnsi="Verdana" w:cs="Times New Roman"/>
          <w:lang w:eastAsia="ro-RO"/>
        </w:rPr>
        <w:t>Măsura se aplică începând cu data de 31 martie 2020, ora 12,00.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9" w:name="do|ar6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1" name="Imagine 11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9"/>
      <w:r w:rsidRPr="00DE2826">
        <w:rPr>
          <w:rFonts w:ascii="Verdana" w:eastAsia="Times New Roman" w:hAnsi="Verdana" w:cs="Times New Roman"/>
          <w:b/>
          <w:bCs/>
          <w:color w:val="0000AF"/>
          <w:lang w:eastAsia="ro-RO"/>
        </w:rPr>
        <w:t>Art. 6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0" w:name="do|ar6|al1"/>
      <w:bookmarkEnd w:id="30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administraţiei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publice locale vor asigura montarea de dispozitive cu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soluţii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dezinfectante la toate intrările blocurilor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locuinţe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situate pe raza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unităţii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administrativ-teritoriale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vor dezinfecta periodic lifturile, casa scărilor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alte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comune.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1" w:name="do|ar6|al2"/>
      <w:bookmarkEnd w:id="31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DE2826">
        <w:rPr>
          <w:rFonts w:ascii="Verdana" w:eastAsia="Times New Roman" w:hAnsi="Verdana" w:cs="Times New Roman"/>
          <w:lang w:eastAsia="ro-RO"/>
        </w:rPr>
        <w:t>Măsura se aplică începând cu data de 31 martie 2020.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2" w:name="do|ar7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0" name="Imagine 10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7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2"/>
      <w:r w:rsidRPr="00DE2826">
        <w:rPr>
          <w:rFonts w:ascii="Verdana" w:eastAsia="Times New Roman" w:hAnsi="Verdana" w:cs="Times New Roman"/>
          <w:b/>
          <w:bCs/>
          <w:color w:val="0000AF"/>
          <w:lang w:eastAsia="ro-RO"/>
        </w:rPr>
        <w:t>Art. 7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3" w:name="do|ar7|al1"/>
      <w:bookmarkEnd w:id="33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DE2826">
        <w:rPr>
          <w:rFonts w:ascii="Verdana" w:eastAsia="Times New Roman" w:hAnsi="Verdana" w:cs="Times New Roman"/>
          <w:lang w:eastAsia="ro-RO"/>
        </w:rPr>
        <w:t xml:space="preserve">Ministerele cu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reţea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sanitară proprie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administraţiei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publice locale care au în subordine sau în coordonare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unităţi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sanitare vor asigura la cerere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hoteliere destinate repausului între ture sau gărzi personalului din sistemul public sanitar, în vederea prevenirii răspândirii virusului COVID-19 în rândul cadrelor medicale sau al familiilor acestora.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4" w:name="do|ar7|al2"/>
      <w:bookmarkEnd w:id="34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DE2826">
        <w:rPr>
          <w:rFonts w:ascii="Verdana" w:eastAsia="Times New Roman" w:hAnsi="Verdana" w:cs="Times New Roman"/>
          <w:lang w:eastAsia="ro-RO"/>
        </w:rPr>
        <w:t>Măsura se aplică începând cu data de 31 martie 2020.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5" w:name="do|ar8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9" name="Imagine 9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8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"/>
      <w:r w:rsidRPr="00DE2826">
        <w:rPr>
          <w:rFonts w:ascii="Verdana" w:eastAsia="Times New Roman" w:hAnsi="Verdana" w:cs="Times New Roman"/>
          <w:b/>
          <w:bCs/>
          <w:color w:val="0000AF"/>
          <w:lang w:eastAsia="ro-RO"/>
        </w:rPr>
        <w:t>Art. 8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6" w:name="do|ar8|al1"/>
      <w:bookmarkEnd w:id="36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DE2826">
        <w:rPr>
          <w:rFonts w:ascii="Verdana" w:eastAsia="Times New Roman" w:hAnsi="Verdana" w:cs="Times New Roman"/>
          <w:lang w:eastAsia="ro-RO"/>
        </w:rPr>
        <w:t xml:space="preserve">În perioada stării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preţurile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la energie electrică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termică, gaze naturale, alimentare cu apă, salubritate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carburanţi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nu pot fi majorate peste </w:t>
      </w:r>
      <w:r w:rsidRPr="00DE2826">
        <w:rPr>
          <w:rFonts w:ascii="Verdana" w:eastAsia="Times New Roman" w:hAnsi="Verdana" w:cs="Times New Roman"/>
          <w:lang w:eastAsia="ro-RO"/>
        </w:rPr>
        <w:lastRenderedPageBreak/>
        <w:t xml:space="preserve">nivelul practicat la data emiterii prezentei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militare, acestea putând fi doar diminuate în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funcţie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cerere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ofertă.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7" w:name="do|ar8|al2"/>
      <w:bookmarkEnd w:id="37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DE2826">
        <w:rPr>
          <w:rFonts w:ascii="Verdana" w:eastAsia="Times New Roman" w:hAnsi="Verdana" w:cs="Times New Roman"/>
          <w:lang w:eastAsia="ro-RO"/>
        </w:rPr>
        <w:t xml:space="preserve">Măsura se aplică începând cu data publicării prezentei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militare în Monitorul Oficial al României, Partea I.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8" w:name="do|ar9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8" name="Imagine 8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9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8"/>
      <w:r w:rsidRPr="00DE2826">
        <w:rPr>
          <w:rFonts w:ascii="Verdana" w:eastAsia="Times New Roman" w:hAnsi="Verdana" w:cs="Times New Roman"/>
          <w:b/>
          <w:bCs/>
          <w:color w:val="0000AF"/>
          <w:lang w:eastAsia="ro-RO"/>
        </w:rPr>
        <w:t>Art. 9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9" w:name="do|ar9|al1"/>
      <w:bookmarkEnd w:id="39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DE2826">
        <w:rPr>
          <w:rFonts w:ascii="Verdana" w:eastAsia="Times New Roman" w:hAnsi="Verdana" w:cs="Times New Roman"/>
          <w:lang w:eastAsia="ro-RO"/>
        </w:rPr>
        <w:t xml:space="preserve">În perioada în care este instituită starea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, alertele sanitare, comunicatele, textele, materialele fotografice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audio-video cu mesaje de interes public care sprijină măsurile de prevenire a răspândirii COVID-19, guvernamentale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/sau sponsorizate de către operatorii economici publici sau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privaţi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, persoane fizice sau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organizaţii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neguvernamentale, vor fi mediatizate gratuit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se vor adăuga ca timp suplimentar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alocat pentru publicitate.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0" w:name="do|ar9|al2"/>
      <w:bookmarkEnd w:id="40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DE2826">
        <w:rPr>
          <w:rFonts w:ascii="Verdana" w:eastAsia="Times New Roman" w:hAnsi="Verdana" w:cs="Times New Roman"/>
          <w:lang w:eastAsia="ro-RO"/>
        </w:rPr>
        <w:t xml:space="preserve">Difuzarea categoriilor de mesaje prevăzute la alin. (1) va fi solicitată radiodifuzorilor sau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mass-media de către Grupul de comunicare strategică din cadrul Comitetului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Speciale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se vor identifica în momentul difuzării cu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menţiunea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"Mesaj de utilitate publică."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1" w:name="do|ar9|al3"/>
      <w:bookmarkEnd w:id="41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DE2826">
        <w:rPr>
          <w:rFonts w:ascii="Verdana" w:eastAsia="Times New Roman" w:hAnsi="Verdana" w:cs="Times New Roman"/>
          <w:lang w:eastAsia="ro-RO"/>
        </w:rPr>
        <w:t xml:space="preserve">Măsura se aplică începând cu data publicării prezentei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militare în Monitorul Oficial al României, Partea I.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2" w:name="do|ar10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7" name="Imagine 7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0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2"/>
      <w:r w:rsidRPr="00DE2826">
        <w:rPr>
          <w:rFonts w:ascii="Verdana" w:eastAsia="Times New Roman" w:hAnsi="Verdana" w:cs="Times New Roman"/>
          <w:b/>
          <w:bCs/>
          <w:color w:val="0000AF"/>
          <w:lang w:eastAsia="ro-RO"/>
        </w:rPr>
        <w:t>Art. 10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3" w:name="do|ar10|al1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6" name="Imagine 6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0|al1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3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DE2826">
        <w:rPr>
          <w:rFonts w:ascii="Verdana" w:eastAsia="Times New Roman" w:hAnsi="Verdana" w:cs="Times New Roman"/>
          <w:lang w:eastAsia="ro-RO"/>
        </w:rPr>
        <w:t xml:space="preserve">Pe perioada stării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se autorizează Centrul de cercetări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ştiinţifice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medico-militare, Centrul de cercetare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ştiinţifică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pentru apărare CBRN</w:t>
      </w:r>
      <w:r w:rsidRPr="00DE2826">
        <w:rPr>
          <w:rFonts w:ascii="Verdana" w:eastAsia="Times New Roman" w:hAnsi="Verdana" w:cs="Times New Roman"/>
          <w:vertAlign w:val="superscript"/>
          <w:lang w:eastAsia="ro-RO"/>
        </w:rPr>
        <w:t>1</w:t>
      </w:r>
      <w:r w:rsidRPr="00DE2826">
        <w:rPr>
          <w:rFonts w:ascii="Verdana" w:eastAsia="Times New Roman" w:hAnsi="Verdana" w:cs="Times New Roman"/>
          <w:lang w:eastAsia="ro-RO"/>
        </w:rPr>
        <w:t xml:space="preserve">)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ecologie,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Agenţia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Cercetare pentru Tehnică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Tehnologii Militare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Institutul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Cercetare-Dezvoltare Medico-Militară "Cantacuzino" pentru avizarea/autorizarea materialelor, componentelor, echipamentelor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dispozitivelor medicale necesare pentru prevenirea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combaterea răspândirii, precum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pentru tratamentul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infecţiei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cu virusul SARS-CoV-2, respectiv 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biocidelor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>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4" w:name="do|ar10|al1|pa1"/>
      <w:bookmarkEnd w:id="44"/>
      <w:r w:rsidRPr="00DE2826">
        <w:rPr>
          <w:rFonts w:ascii="Verdana" w:eastAsia="Times New Roman" w:hAnsi="Verdana" w:cs="Times New Roman"/>
          <w:vertAlign w:val="superscript"/>
          <w:lang w:eastAsia="ro-RO"/>
        </w:rPr>
        <w:t>1</w:t>
      </w:r>
      <w:r w:rsidRPr="00DE2826">
        <w:rPr>
          <w:rFonts w:ascii="Verdana" w:eastAsia="Times New Roman" w:hAnsi="Verdana" w:cs="Times New Roman"/>
          <w:lang w:eastAsia="ro-RO"/>
        </w:rPr>
        <w:t xml:space="preserve">)Chimic, biologic, radiologic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nuclear.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5" w:name="do|ar10|al2"/>
      <w:bookmarkEnd w:id="45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DE2826">
        <w:rPr>
          <w:rFonts w:ascii="Verdana" w:eastAsia="Times New Roman" w:hAnsi="Verdana" w:cs="Times New Roman"/>
          <w:lang w:eastAsia="ro-RO"/>
        </w:rPr>
        <w:t xml:space="preserve">Măsura se aplică începând cu data publicării prezentei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militare în Monitorul Oficial al României, Partea I.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6" w:name="do|ar11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5" name="Imagine 5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1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6"/>
      <w:r w:rsidRPr="00DE2826">
        <w:rPr>
          <w:rFonts w:ascii="Verdana" w:eastAsia="Times New Roman" w:hAnsi="Verdana" w:cs="Times New Roman"/>
          <w:b/>
          <w:bCs/>
          <w:color w:val="0000AF"/>
          <w:lang w:eastAsia="ro-RO"/>
        </w:rPr>
        <w:t>Art. 11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7" w:name="do|ar11|al1"/>
      <w:bookmarkEnd w:id="47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DE2826">
        <w:rPr>
          <w:rFonts w:ascii="Verdana" w:eastAsia="Times New Roman" w:hAnsi="Verdana" w:cs="Times New Roman"/>
          <w:lang w:eastAsia="ro-RO"/>
        </w:rPr>
        <w:t xml:space="preserve">Transportul maritim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pe căile navigabile interioare, accesul navelor în porturile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româneşti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inspectarea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operarea navelor se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fără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restricţii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, cu respectarea tuturor măsurilor de prevenire a infectării cu COVID19, impuse de Ministerul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>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8" w:name="do|ar11|al2"/>
      <w:bookmarkEnd w:id="48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DE2826">
        <w:rPr>
          <w:rFonts w:ascii="Verdana" w:eastAsia="Times New Roman" w:hAnsi="Verdana" w:cs="Times New Roman"/>
          <w:lang w:eastAsia="ro-RO"/>
        </w:rPr>
        <w:t xml:space="preserve">Se interzice accesul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piloţilor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la bordul navelor maritime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fluvio-maritime, sosite din zonele de risc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roşu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sau galbene, dacă nu dispun de echipamentul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stabilit de Ministerul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>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9" w:name="do|ar11|al3"/>
      <w:bookmarkEnd w:id="49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DE2826">
        <w:rPr>
          <w:rFonts w:ascii="Verdana" w:eastAsia="Times New Roman" w:hAnsi="Verdana" w:cs="Times New Roman"/>
          <w:lang w:eastAsia="ro-RO"/>
        </w:rPr>
        <w:t xml:space="preserve">Măsura se aplică începând cu data publicării prezentei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militare în Monitorul Oficial al României, Partea I.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0" w:name="do|ar12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4" name="Imagine 4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2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0"/>
      <w:r w:rsidRPr="00DE2826">
        <w:rPr>
          <w:rFonts w:ascii="Verdana" w:eastAsia="Times New Roman" w:hAnsi="Verdana" w:cs="Times New Roman"/>
          <w:b/>
          <w:bCs/>
          <w:color w:val="0000AF"/>
          <w:lang w:eastAsia="ro-RO"/>
        </w:rPr>
        <w:t>Art. 12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1" w:name="do|ar12|pa1"/>
      <w:bookmarkEnd w:id="51"/>
      <w:r w:rsidRPr="00DE2826">
        <w:rPr>
          <w:rFonts w:ascii="Verdana" w:eastAsia="Times New Roman" w:hAnsi="Verdana" w:cs="Times New Roman"/>
          <w:lang w:eastAsia="ro-RO"/>
        </w:rPr>
        <w:t xml:space="preserve">După alineatul (2) al articolului 3 din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militară nr. </w:t>
      </w:r>
      <w:hyperlink r:id="rId12" w:history="1">
        <w:r w:rsidRPr="00DE2826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2/2020</w:t>
        </w:r>
      </w:hyperlink>
      <w:r w:rsidRPr="00DE2826">
        <w:rPr>
          <w:rFonts w:ascii="Verdana" w:eastAsia="Times New Roman" w:hAnsi="Verdana" w:cs="Times New Roman"/>
          <w:lang w:eastAsia="ro-RO"/>
        </w:rPr>
        <w:t xml:space="preserve"> privind măsuri de prevenire a răspândirii COVID-19, publicată în Monitorul Oficial al României, Partea I, nr. 232 din 21 martie 2020, se introduce un nou alineat, alineatul (3), cu următorul cuprins: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2" w:name="do|ar12|pa2"/>
      <w:bookmarkEnd w:id="52"/>
      <w:r w:rsidRPr="00DE2826">
        <w:rPr>
          <w:rFonts w:ascii="Verdana" w:eastAsia="Times New Roman" w:hAnsi="Verdana" w:cs="Times New Roman"/>
          <w:lang w:eastAsia="ro-RO"/>
        </w:rPr>
        <w:t xml:space="preserve">"(3)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Interdicţia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privind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circulaţia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persoanelor într-un grup mai mare de 3 persoane se aplică exclusiv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circulaţiei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pietonale."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3" w:name="do|ar13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3" name="Imagine 3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3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3"/>
      <w:r w:rsidRPr="00DE2826">
        <w:rPr>
          <w:rFonts w:ascii="Verdana" w:eastAsia="Times New Roman" w:hAnsi="Verdana" w:cs="Times New Roman"/>
          <w:b/>
          <w:bCs/>
          <w:color w:val="0000AF"/>
          <w:lang w:eastAsia="ro-RO"/>
        </w:rPr>
        <w:t>Art. 13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4" w:name="do|ar13|al1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2" name="Imagine 2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3|al1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4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DE2826">
        <w:rPr>
          <w:rFonts w:ascii="Verdana" w:eastAsia="Times New Roman" w:hAnsi="Verdana" w:cs="Times New Roman"/>
          <w:lang w:eastAsia="ro-RO"/>
        </w:rPr>
        <w:t xml:space="preserve">Sunt abilitate să asigure aplicarea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respectarea prevederilor prezentei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militare: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5" w:name="do|ar13|al1|lia"/>
      <w:bookmarkEnd w:id="55"/>
      <w:r w:rsidRPr="00DE2826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Română, Jandarmeria Română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locală, pentru măsurile prevăzute la art. 1;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6" w:name="do|ar13|al1|lib"/>
      <w:bookmarkEnd w:id="56"/>
      <w:r w:rsidRPr="00DE2826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Română, Autoritatea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Protecţia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Consumatorului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locală, pentru măsura prevăzută la art. 2;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7" w:name="do|ar13|al1|lic"/>
      <w:bookmarkEnd w:id="57"/>
      <w:r w:rsidRPr="00DE2826">
        <w:rPr>
          <w:rFonts w:ascii="Verdana" w:eastAsia="Times New Roman" w:hAnsi="Verdana" w:cs="Times New Roman"/>
          <w:b/>
          <w:bCs/>
          <w:color w:val="8F0000"/>
          <w:lang w:eastAsia="ro-RO"/>
        </w:rPr>
        <w:lastRenderedPageBreak/>
        <w:t>c)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Română,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Frontieră Română, Jandarmeria Română,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locală,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direcţiile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conducătorii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administraţiei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publice locale, pentru măsurile prevăzute la art. 3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4;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8" w:name="do|ar13|al1|lid"/>
      <w:bookmarkEnd w:id="58"/>
      <w:r w:rsidRPr="00DE2826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r w:rsidRPr="00DE2826">
        <w:rPr>
          <w:rFonts w:ascii="Verdana" w:eastAsia="Times New Roman" w:hAnsi="Verdana" w:cs="Times New Roman"/>
          <w:lang w:eastAsia="ro-RO"/>
        </w:rPr>
        <w:t xml:space="preserve">Ministerul Economiei, Energiei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Mediului de Afaceri, pentru măsura prevăzută la art. 5;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9" w:name="do|ar13|al1|lie"/>
      <w:bookmarkEnd w:id="59"/>
      <w:r w:rsidRPr="00DE2826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DE2826">
        <w:rPr>
          <w:rFonts w:ascii="Verdana" w:eastAsia="Times New Roman" w:hAnsi="Verdana" w:cs="Times New Roman"/>
          <w:lang w:eastAsia="ro-RO"/>
        </w:rPr>
        <w:t xml:space="preserve">Ministerul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Ministerul Transporturilor, Infrastructurii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>, pentru măsurile prevăzute la art. 11.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0" w:name="do|ar13|al2"/>
      <w:bookmarkEnd w:id="60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DE2826">
        <w:rPr>
          <w:rFonts w:ascii="Verdana" w:eastAsia="Times New Roman" w:hAnsi="Verdana" w:cs="Times New Roman"/>
          <w:lang w:eastAsia="ro-RO"/>
        </w:rPr>
        <w:t xml:space="preserve">Nerespectarea măsurilor prevăzute la art. 1-5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art. 11 atrage răspunderea disciplinară, civilă,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contravenţională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sau penală, în conformitate cu prevederile art. 27 din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13" w:history="1">
        <w:r w:rsidRPr="00DE2826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1/1999</w:t>
        </w:r>
      </w:hyperlink>
      <w:r w:rsidRPr="00DE2826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1" w:name="do|ar13|al3"/>
      <w:bookmarkEnd w:id="61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DE2826">
        <w:rPr>
          <w:rFonts w:ascii="Verdana" w:eastAsia="Times New Roman" w:hAnsi="Verdana" w:cs="Times New Roman"/>
          <w:lang w:eastAsia="ro-RO"/>
        </w:rPr>
        <w:t xml:space="preserve">Personalul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prevăzute la alin. (1) este împuternicit să constate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contravenţii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să aplice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sancţiuni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, în conformitate cu prevederile art. 29 din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14" w:history="1">
        <w:r w:rsidRPr="00DE2826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1/1999</w:t>
        </w:r>
      </w:hyperlink>
      <w:r w:rsidRPr="00DE2826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2" w:name="do|ar14"/>
      <w:r w:rsidRPr="00DE282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" name="Imagine 1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4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2"/>
      <w:r w:rsidRPr="00DE2826">
        <w:rPr>
          <w:rFonts w:ascii="Verdana" w:eastAsia="Times New Roman" w:hAnsi="Verdana" w:cs="Times New Roman"/>
          <w:b/>
          <w:bCs/>
          <w:color w:val="0000AF"/>
          <w:lang w:eastAsia="ro-RO"/>
        </w:rPr>
        <w:t>Art. 14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3" w:name="do|ar14|al1"/>
      <w:bookmarkEnd w:id="63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DE2826">
        <w:rPr>
          <w:rFonts w:ascii="Verdana" w:eastAsia="Times New Roman" w:hAnsi="Verdana" w:cs="Times New Roman"/>
          <w:lang w:eastAsia="ro-RO"/>
        </w:rPr>
        <w:t xml:space="preserve">Prezenta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ordonanţă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militară se publică în Monitorul Oficial al României, Partea I.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4" w:name="do|ar14|al2"/>
      <w:bookmarkEnd w:id="64"/>
      <w:r w:rsidRPr="00DE2826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DE2826">
        <w:rPr>
          <w:rFonts w:ascii="Verdana" w:eastAsia="Times New Roman" w:hAnsi="Verdana" w:cs="Times New Roman"/>
          <w:lang w:eastAsia="ro-RO"/>
        </w:rPr>
        <w:t xml:space="preserve">Furnizorii de servicii media audiovizuale au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de a informa publicul, prin mesaje difuzate regulat, pentru cel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puţin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două zile de la data publicării, despre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conţinutul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prezentei </w:t>
      </w:r>
      <w:proofErr w:type="spellStart"/>
      <w:r w:rsidRPr="00DE2826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DE2826">
        <w:rPr>
          <w:rFonts w:ascii="Verdana" w:eastAsia="Times New Roman" w:hAnsi="Verdana" w:cs="Times New Roman"/>
          <w:lang w:eastAsia="ro-RO"/>
        </w:rPr>
        <w:t xml:space="preserve"> militare.</w:t>
      </w:r>
    </w:p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5" w:name="do|pa5"/>
      <w:bookmarkEnd w:id="65"/>
      <w:r w:rsidRPr="00DE2826">
        <w:rPr>
          <w:rFonts w:ascii="Verdana" w:eastAsia="Times New Roman" w:hAnsi="Verdana" w:cs="Times New Roman"/>
          <w:lang w:eastAsia="ro-RO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E2826" w:rsidRPr="00DE2826" w:rsidTr="00DE2826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:rsidR="00DE2826" w:rsidRPr="00DE2826" w:rsidRDefault="00DE2826" w:rsidP="00DE28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66" w:name="do|pa6"/>
            <w:bookmarkEnd w:id="66"/>
            <w:r w:rsidRPr="00DE282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 afacerilor interne,</w:t>
            </w:r>
          </w:p>
          <w:p w:rsidR="00DE2826" w:rsidRPr="00DE2826" w:rsidRDefault="00DE2826" w:rsidP="00DE28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E282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Marcel Ion Vela</w:t>
            </w:r>
          </w:p>
          <w:p w:rsidR="00DE2826" w:rsidRPr="00DE2826" w:rsidRDefault="00DE2826" w:rsidP="00DE28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E282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De acord</w:t>
            </w:r>
          </w:p>
          <w:p w:rsidR="00DE2826" w:rsidRPr="00DE2826" w:rsidRDefault="00DE2826" w:rsidP="00DE28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E282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PRIM-MINISTRU</w:t>
            </w:r>
          </w:p>
          <w:p w:rsidR="00DE2826" w:rsidRPr="00DE2826" w:rsidRDefault="00DE2826" w:rsidP="00DE28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DE282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LUDOVIC ORBAN</w:t>
            </w:r>
          </w:p>
        </w:tc>
      </w:tr>
    </w:tbl>
    <w:p w:rsidR="00DE2826" w:rsidRPr="00DE2826" w:rsidRDefault="00DE2826" w:rsidP="00DE282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7" w:name="do|pa7"/>
      <w:bookmarkEnd w:id="67"/>
      <w:r w:rsidRPr="00DE2826">
        <w:rPr>
          <w:rFonts w:ascii="Verdana" w:eastAsia="Times New Roman" w:hAnsi="Verdana" w:cs="Times New Roman"/>
          <w:lang w:eastAsia="ro-RO"/>
        </w:rPr>
        <w:t>Publicat în Monitorul Oficial cu numărul 257 din data de 29 martie 2020</w:t>
      </w:r>
    </w:p>
    <w:p w:rsidR="003721B5" w:rsidRDefault="003721B5">
      <w:bookmarkStart w:id="68" w:name="_GoBack"/>
      <w:bookmarkEnd w:id="68"/>
    </w:p>
    <w:sectPr w:rsidR="00372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26"/>
    <w:rsid w:val="003721B5"/>
    <w:rsid w:val="00D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DF075-E18B-4344-BDC0-31583A31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DE2826"/>
    <w:rPr>
      <w:b/>
      <w:bCs/>
      <w:color w:val="333399"/>
      <w:u w:val="single"/>
    </w:rPr>
  </w:style>
  <w:style w:type="character" w:customStyle="1" w:styleId="do1">
    <w:name w:val="do1"/>
    <w:basedOn w:val="Fontdeparagrafimplicit"/>
    <w:rsid w:val="00DE2826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DE2826"/>
  </w:style>
  <w:style w:type="character" w:customStyle="1" w:styleId="ar1">
    <w:name w:val="ar1"/>
    <w:basedOn w:val="Fontdeparagrafimplicit"/>
    <w:rsid w:val="00DE2826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DE2826"/>
    <w:rPr>
      <w:b/>
      <w:bCs/>
      <w:color w:val="008F00"/>
    </w:rPr>
  </w:style>
  <w:style w:type="character" w:customStyle="1" w:styleId="tal1">
    <w:name w:val="tal1"/>
    <w:basedOn w:val="Fontdeparagrafimplicit"/>
    <w:rsid w:val="00DE2826"/>
  </w:style>
  <w:style w:type="character" w:customStyle="1" w:styleId="li1">
    <w:name w:val="li1"/>
    <w:basedOn w:val="Fontdeparagrafimplicit"/>
    <w:rsid w:val="00DE2826"/>
    <w:rPr>
      <w:b/>
      <w:bCs/>
      <w:color w:val="8F0000"/>
    </w:rPr>
  </w:style>
  <w:style w:type="character" w:customStyle="1" w:styleId="tli1">
    <w:name w:val="tli1"/>
    <w:basedOn w:val="Fontdeparagrafimplicit"/>
    <w:rsid w:val="00DE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243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558499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608404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416109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230138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12865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330727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056305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838769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36956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12325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69554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828340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061960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679516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30081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380542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435720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544448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7329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651336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787920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287594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413065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929398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628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59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224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534095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77901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47717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72927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123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974706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28435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55248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81135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786965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859105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21192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481290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285382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575991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98819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716255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092445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407945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60350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743993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914864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467655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50273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4671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754999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495262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718085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84142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303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967438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829852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331228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59058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59345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01063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767657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407878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978101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95005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965051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935643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081838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75633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7554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238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94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9552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3916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592282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64848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445635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413585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831063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30814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195094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456831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254668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erasela.branescu\sintact%204.0\cache\Legislatie\temp852826\00208236.htm" TargetMode="External"/><Relationship Id="rId13" Type="http://schemas.openxmlformats.org/officeDocument/2006/relationships/hyperlink" Target="file:///C:\Users\cerasela.branescu\sintact%204.0\cache\Legislatie\temp852826\00028275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cerasela.branescu\sintact%204.0\cache\Legislatie\temp852826\00078582.htm" TargetMode="External"/><Relationship Id="rId12" Type="http://schemas.openxmlformats.org/officeDocument/2006/relationships/hyperlink" Target="file:///C:\Users\cerasela.branescu\sintact%204.0\cache\Legislatie\temp852826\00208397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cerasela.branescu\sintact%204.0\cache\Legislatie\temp852826\00028275.htm" TargetMode="External"/><Relationship Id="rId11" Type="http://schemas.openxmlformats.org/officeDocument/2006/relationships/hyperlink" Target="file:///C:\Users\cerasela.branescu\sintact%204.0\cache\Legislatie\temp852826\00028275.htm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file:///C:\Users\cerasela.branescu\sintact%204.0\cache\Legislatie\temp852826\00028275.htm" TargetMode="External"/><Relationship Id="rId4" Type="http://schemas.openxmlformats.org/officeDocument/2006/relationships/hyperlink" Target="file:///C:\Users\cerasela.branescu\sintact%204.0\cache\Legislatie\temp852826\00208575.HTM" TargetMode="External"/><Relationship Id="rId9" Type="http://schemas.openxmlformats.org/officeDocument/2006/relationships/hyperlink" Target="file:///C:\Users\cerasela.branescu\sintact%204.0\cache\Legislatie\temp852826\00028275.htm" TargetMode="External"/><Relationship Id="rId14" Type="http://schemas.openxmlformats.org/officeDocument/2006/relationships/hyperlink" Target="file:///C:\Users\cerasela.branescu\sintact%204.0\cache\Legislatie\temp852826\00028275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1837</Words>
  <Characters>10661</Characters>
  <Application>Microsoft Office Word</Application>
  <DocSecurity>0</DocSecurity>
  <Lines>88</Lines>
  <Paragraphs>24</Paragraphs>
  <ScaleCrop>false</ScaleCrop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Cerasela Brănescu</dc:creator>
  <cp:keywords/>
  <dc:description/>
  <cp:lastModifiedBy>Cerasela Brănescu</cp:lastModifiedBy>
  <cp:revision>1</cp:revision>
  <dcterms:created xsi:type="dcterms:W3CDTF">2020-03-30T08:18:00Z</dcterms:created>
  <dcterms:modified xsi:type="dcterms:W3CDTF">2020-03-30T08:18:00Z</dcterms:modified>
</cp:coreProperties>
</file>