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6D94" w14:textId="2B69CD9E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</w:pPr>
      <w:r w:rsidRPr="00F440CD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ORDONANŢĂ DE URGENŢĂ nr. 195 din 12 noiembrie 2020 privind măsuri în domeniul registrului </w:t>
      </w:r>
      <w:proofErr w:type="spellStart"/>
      <w:r w:rsidRPr="00F440CD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br/>
      </w:r>
      <w:r w:rsidRPr="00F440C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lang w:eastAsia="ro-RO"/>
        </w:rPr>
        <w:drawing>
          <wp:inline distT="0" distB="0" distL="0" distR="0" wp14:anchorId="4EAD1A04" wp14:editId="7382777F">
            <wp:extent cx="85725" cy="85725"/>
            <wp:effectExtent l="0" t="0" r="9525" b="9525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607_0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CD"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  <w:t xml:space="preserve">(la data 23-iul-2021 actul a fost aprobat de </w:t>
      </w:r>
      <w:hyperlink r:id="rId5" w:anchor="do" w:tooltip="pentru aprobarea Ordonanţei de urgenţă a Guvernului nr. 195/2020 privind măsuri în domeniul registrului comerţului (act publicat in M.Of. 715 din 20-iul-2021)" w:history="1">
        <w:r w:rsidRPr="00F440C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lang w:eastAsia="ro-RO"/>
          </w:rPr>
          <w:t>Legea 206/2021</w:t>
        </w:r>
      </w:hyperlink>
      <w:r w:rsidRPr="00F440CD">
        <w:rPr>
          <w:rFonts w:ascii="Verdana" w:eastAsia="Times New Roman" w:hAnsi="Verdana" w:cs="Times New Roman"/>
          <w:i/>
          <w:iCs/>
          <w:color w:val="6666FF"/>
          <w:sz w:val="18"/>
          <w:szCs w:val="18"/>
          <w:lang w:eastAsia="ro-RO"/>
        </w:rPr>
        <w:t xml:space="preserve"> )</w:t>
      </w:r>
    </w:p>
    <w:p w14:paraId="14E3A0AF" w14:textId="77777777" w:rsid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pa1"/>
      <w:bookmarkEnd w:id="0"/>
      <w:r w:rsidRPr="00F440CD">
        <w:rPr>
          <w:rFonts w:ascii="Verdana" w:eastAsia="Times New Roman" w:hAnsi="Verdana" w:cs="Times New Roman"/>
          <w:lang w:eastAsia="ro-RO"/>
        </w:rPr>
        <w:t xml:space="preserve">Având în vedere contextul epidemiologic dinamic actual, care impune, în continuare, măsuri pentru garantarea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publice, cu asigurarea, în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timp, 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condiţiilor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manifestare 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libertăţii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economice, garantate de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Constituţia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României, republicată,</w:t>
      </w:r>
      <w:bookmarkStart w:id="1" w:name="do|pa2"/>
      <w:bookmarkEnd w:id="1"/>
      <w:r>
        <w:rPr>
          <w:rFonts w:ascii="Verdana" w:eastAsia="Times New Roman" w:hAnsi="Verdana" w:cs="Times New Roman"/>
          <w:lang w:eastAsia="ro-RO"/>
        </w:rPr>
        <w:t xml:space="preserve"> </w:t>
      </w:r>
      <w:r w:rsidRPr="00F440CD">
        <w:rPr>
          <w:rFonts w:ascii="Verdana" w:eastAsia="Times New Roman" w:hAnsi="Verdana" w:cs="Times New Roman"/>
          <w:lang w:eastAsia="ro-RO"/>
        </w:rPr>
        <w:t xml:space="preserve">pentru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înregistrare în registrul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condiţii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siguranţă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sanitară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protecţia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solicitanţilor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serviciilor publice,</w:t>
      </w:r>
      <w:bookmarkStart w:id="2" w:name="do|pa3"/>
      <w:bookmarkEnd w:id="2"/>
      <w:r>
        <w:rPr>
          <w:rFonts w:ascii="Verdana" w:eastAsia="Times New Roman" w:hAnsi="Verdana" w:cs="Times New Roman"/>
          <w:lang w:eastAsia="ro-RO"/>
        </w:rPr>
        <w:t xml:space="preserve"> </w:t>
      </w:r>
      <w:r w:rsidRPr="00F440CD">
        <w:rPr>
          <w:rFonts w:ascii="Verdana" w:eastAsia="Times New Roman" w:hAnsi="Verdana" w:cs="Times New Roman"/>
          <w:lang w:eastAsia="ro-RO"/>
        </w:rPr>
        <w:t xml:space="preserve">având în vedere că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cerinţele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simplificate de întocmire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depunere a documentelor pentru înregistrarea în registrul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, aplicate încă de la instituirea stării de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, au făcut posibile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înfiinţarea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noi afaceri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asigurarea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opozabilităţii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actelor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faptelor prevăzute de lege, astfel încât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funcţionarea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mediului de afaceri să nu fie perturbată de măsurile impuse de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pentru prevenirea extinderii pandemiei de COVID-19,</w:t>
      </w:r>
      <w:bookmarkStart w:id="3" w:name="do|pa4"/>
      <w:bookmarkEnd w:id="3"/>
      <w:r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cont de faptul că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circumstanţele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care au determinat adoptarea acestor reguli procedurale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organizare administrativă se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menţin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, fiind în continuare necesare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soluţii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alternative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prezenţei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fizice la sediile oficiilor registrului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măsuri adaptate de organizare 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înregistrare în registrul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, în contextul în care volumul de cereri este similar celui existent în mod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obişnuit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în această perioadă a anilor anteriori,</w:t>
      </w:r>
      <w:bookmarkStart w:id="4" w:name="do|pa5"/>
      <w:bookmarkEnd w:id="4"/>
      <w:r>
        <w:rPr>
          <w:rFonts w:ascii="Verdana" w:eastAsia="Times New Roman" w:hAnsi="Verdana" w:cs="Times New Roman"/>
          <w:lang w:eastAsia="ro-RO"/>
        </w:rPr>
        <w:t xml:space="preserve"> </w:t>
      </w:r>
      <w:r w:rsidRPr="00F440CD">
        <w:rPr>
          <w:rFonts w:ascii="Verdana" w:eastAsia="Times New Roman" w:hAnsi="Verdana" w:cs="Times New Roman"/>
          <w:lang w:eastAsia="ro-RO"/>
        </w:rPr>
        <w:t xml:space="preserve">având în vedere necesitatea simplificării unor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formalităţi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declarare în procedura de înregistrare în registrul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autorizare 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funcţionarii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pentru facilitarea accesului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solicitanţilor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la registrul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în contextul special generat de pandemia de COVID-19,</w:t>
      </w:r>
      <w:bookmarkStart w:id="5" w:name="do|pa6"/>
      <w:bookmarkEnd w:id="5"/>
      <w:r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cont de faptul că neadoptarea acestor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soluţii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ar putea afecta în mod negativ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funcţionarea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mediului de afaceri, care, dată fiind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epidemiologică ce nu a înregistrat modificări care să indice înlăturarea sau reducerea pericolului pentru sănătatea publică, poate întâmpina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dificultăţi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întârzieri în realizarea demersurilor legate de înregistrarea în registrul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>,</w:t>
      </w:r>
      <w:bookmarkStart w:id="6" w:name="do|pa7"/>
      <w:bookmarkEnd w:id="6"/>
      <w:r>
        <w:rPr>
          <w:rFonts w:ascii="Verdana" w:eastAsia="Times New Roman" w:hAnsi="Verdana" w:cs="Times New Roman"/>
          <w:lang w:eastAsia="ro-RO"/>
        </w:rPr>
        <w:t xml:space="preserve"> </w:t>
      </w:r>
      <w:r w:rsidRPr="00F440CD">
        <w:rPr>
          <w:rFonts w:ascii="Verdana" w:eastAsia="Times New Roman" w:hAnsi="Verdana" w:cs="Times New Roman"/>
          <w:lang w:eastAsia="ro-RO"/>
        </w:rPr>
        <w:t xml:space="preserve">în temeiul art. 115 alin. (4) din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Constituţia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României, republicată,</w:t>
      </w:r>
      <w:bookmarkStart w:id="7" w:name="do|pa8"/>
      <w:bookmarkEnd w:id="7"/>
      <w:r>
        <w:rPr>
          <w:rFonts w:ascii="Verdana" w:eastAsia="Times New Roman" w:hAnsi="Verdana" w:cs="Times New Roman"/>
          <w:lang w:eastAsia="ro-RO"/>
        </w:rPr>
        <w:t xml:space="preserve"> </w:t>
      </w:r>
    </w:p>
    <w:p w14:paraId="1E2F7D79" w14:textId="371AA974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F440CD">
        <w:rPr>
          <w:rFonts w:ascii="Verdana" w:eastAsia="Times New Roman" w:hAnsi="Verdana" w:cs="Times New Roman"/>
          <w:b/>
          <w:bCs/>
          <w:lang w:eastAsia="ro-RO"/>
        </w:rPr>
        <w:t>Guvernul României</w:t>
      </w:r>
      <w:r w:rsidRPr="00F440CD">
        <w:rPr>
          <w:rFonts w:ascii="Verdana" w:eastAsia="Times New Roman" w:hAnsi="Verdana" w:cs="Times New Roman"/>
          <w:lang w:eastAsia="ro-RO"/>
        </w:rPr>
        <w:t xml:space="preserve"> adoptă prezenta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>.</w:t>
      </w:r>
    </w:p>
    <w:p w14:paraId="1EED5344" w14:textId="37B88D3A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lang w:eastAsia="ro-RO"/>
        </w:rPr>
      </w:pPr>
      <w:bookmarkStart w:id="8" w:name="do|ar1:2"/>
      <w:r w:rsidRPr="00F440CD">
        <w:rPr>
          <w:rFonts w:ascii="Verdana" w:eastAsia="Times New Roman" w:hAnsi="Verdana" w:cs="Times New Roman"/>
          <w:b/>
          <w:bCs/>
          <w:noProof/>
          <w:vanish/>
          <w:color w:val="333399"/>
          <w:lang w:eastAsia="ro-RO"/>
        </w:rPr>
        <w:drawing>
          <wp:inline distT="0" distB="0" distL="0" distR="0" wp14:anchorId="61CBF600" wp14:editId="1E8D8F20">
            <wp:extent cx="95250" cy="95250"/>
            <wp:effectExtent l="0" t="0" r="0" b="0"/>
            <wp:docPr id="7" name="Imagine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:2|_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 w:rsidRPr="00F440CD">
        <w:rPr>
          <w:rFonts w:ascii="Verdana" w:eastAsia="Times New Roman" w:hAnsi="Verdana" w:cs="Times New Roman"/>
          <w:b/>
          <w:bCs/>
          <w:strike/>
          <w:vanish/>
          <w:color w:val="DC143C"/>
          <w:lang w:eastAsia="ro-RO"/>
        </w:rPr>
        <w:t>Art. 1</w:t>
      </w:r>
    </w:p>
    <w:p w14:paraId="11A0160C" w14:textId="77777777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  <w:lang w:eastAsia="ro-RO"/>
        </w:rPr>
      </w:pPr>
      <w:bookmarkStart w:id="9" w:name="do|ar1:2|pa1:3"/>
      <w:bookmarkEnd w:id="9"/>
      <w:r w:rsidRPr="00F440CD">
        <w:rPr>
          <w:rFonts w:ascii="Verdana" w:eastAsia="Times New Roman" w:hAnsi="Verdana" w:cs="Times New Roman"/>
          <w:strike/>
          <w:vanish/>
          <w:color w:val="DC143C"/>
          <w:lang w:eastAsia="ro-RO"/>
        </w:rPr>
        <w:t xml:space="preserve">Măsurile prevăzute la art. 26-28 din Ordonanţa de urgenţă a Guvernului nr. </w:t>
      </w:r>
      <w:hyperlink r:id="rId8" w:tooltip="privind reglementarea unor măsuri, începând cu data de 15 mai 2020, în contextul situaţiei epidemiologice determinate de răspândirea coronavirusului SARS-CoV-2, pentru prelungirea unor termene, pentru modificarea şi completarea Legii nr. 227/2015 privind Codul" w:history="1">
        <w:r w:rsidRPr="00F440CD">
          <w:rPr>
            <w:rFonts w:ascii="Verdana" w:eastAsia="Times New Roman" w:hAnsi="Verdana" w:cs="Times New Roman"/>
            <w:b/>
            <w:bCs/>
            <w:strike/>
            <w:vanish/>
            <w:color w:val="333399"/>
            <w:u w:val="single"/>
            <w:lang w:eastAsia="ro-RO"/>
          </w:rPr>
          <w:t>70/2020</w:t>
        </w:r>
      </w:hyperlink>
      <w:r w:rsidRPr="00F440CD">
        <w:rPr>
          <w:rFonts w:ascii="Verdana" w:eastAsia="Times New Roman" w:hAnsi="Verdana" w:cs="Times New Roman"/>
          <w:strike/>
          <w:vanish/>
          <w:color w:val="DC143C"/>
          <w:lang w:eastAsia="ro-RO"/>
        </w:rPr>
        <w:t xml:space="preserve"> privind reglementarea unor măsuri, începând cu data de 15 mai 2020, în contextul situaţiei epidemiologice determinate de răspândirea coronavirusului SARS-CoV-2, pentru prelungirea unor termene, pentru modificarea şi completarea Legii nr. </w:t>
      </w:r>
      <w:hyperlink r:id="rId9" w:history="1">
        <w:r w:rsidRPr="00F440CD">
          <w:rPr>
            <w:rFonts w:ascii="Verdana" w:eastAsia="Times New Roman" w:hAnsi="Verdana" w:cs="Times New Roman"/>
            <w:b/>
            <w:bCs/>
            <w:strike/>
            <w:vanish/>
            <w:color w:val="333399"/>
            <w:u w:val="single"/>
            <w:lang w:eastAsia="ro-RO"/>
          </w:rPr>
          <w:t>227/2015</w:t>
        </w:r>
      </w:hyperlink>
      <w:r w:rsidRPr="00F440CD">
        <w:rPr>
          <w:rFonts w:ascii="Verdana" w:eastAsia="Times New Roman" w:hAnsi="Verdana" w:cs="Times New Roman"/>
          <w:strike/>
          <w:vanish/>
          <w:color w:val="DC143C"/>
          <w:lang w:eastAsia="ro-RO"/>
        </w:rPr>
        <w:t xml:space="preserve"> privind Codul fiscal, a Legii educaţiei naţionale nr. </w:t>
      </w:r>
      <w:hyperlink r:id="rId10" w:history="1">
        <w:r w:rsidRPr="00F440CD">
          <w:rPr>
            <w:rFonts w:ascii="Verdana" w:eastAsia="Times New Roman" w:hAnsi="Verdana" w:cs="Times New Roman"/>
            <w:b/>
            <w:bCs/>
            <w:strike/>
            <w:vanish/>
            <w:color w:val="333399"/>
            <w:u w:val="single"/>
            <w:lang w:eastAsia="ro-RO"/>
          </w:rPr>
          <w:t>1/2011</w:t>
        </w:r>
      </w:hyperlink>
      <w:r w:rsidRPr="00F440CD">
        <w:rPr>
          <w:rFonts w:ascii="Verdana" w:eastAsia="Times New Roman" w:hAnsi="Verdana" w:cs="Times New Roman"/>
          <w:strike/>
          <w:vanish/>
          <w:color w:val="DC143C"/>
          <w:lang w:eastAsia="ro-RO"/>
        </w:rPr>
        <w:t xml:space="preserve">, precum şi a altor acte normative, aprobată cu modificări şi completări prin Legea nr. </w:t>
      </w:r>
      <w:hyperlink r:id="rId11" w:history="1">
        <w:r w:rsidRPr="00F440CD">
          <w:rPr>
            <w:rFonts w:ascii="Verdana" w:eastAsia="Times New Roman" w:hAnsi="Verdana" w:cs="Times New Roman"/>
            <w:b/>
            <w:bCs/>
            <w:strike/>
            <w:vanish/>
            <w:color w:val="333399"/>
            <w:u w:val="single"/>
            <w:lang w:eastAsia="ro-RO"/>
          </w:rPr>
          <w:t>179/2020</w:t>
        </w:r>
      </w:hyperlink>
      <w:r w:rsidRPr="00F440CD">
        <w:rPr>
          <w:rFonts w:ascii="Verdana" w:eastAsia="Times New Roman" w:hAnsi="Verdana" w:cs="Times New Roman"/>
          <w:strike/>
          <w:vanish/>
          <w:color w:val="DC143C"/>
          <w:lang w:eastAsia="ro-RO"/>
        </w:rPr>
        <w:t>, cu completările ulterioare, se aplică în continuare, pe o perioadă de 9 luni de la data intrării în vigoare a prezentei ordonanţe de urgenţă.</w:t>
      </w:r>
    </w:p>
    <w:p w14:paraId="457A82A1" w14:textId="196970FE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1"/>
      <w:r w:rsidRPr="00F440CD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8A94313" wp14:editId="0A1D198A">
            <wp:extent cx="95250" cy="95250"/>
            <wp:effectExtent l="0" t="0" r="0" b="0"/>
            <wp:docPr id="6" name="Imagine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F440CD">
        <w:rPr>
          <w:rFonts w:ascii="Verdana" w:eastAsia="Times New Roman" w:hAnsi="Verdana" w:cs="Times New Roman"/>
          <w:b/>
          <w:bCs/>
          <w:color w:val="0000AF"/>
          <w:shd w:val="clear" w:color="auto" w:fill="D3D3D3"/>
          <w:lang w:eastAsia="ro-RO"/>
        </w:rPr>
        <w:t>Art. 1</w:t>
      </w:r>
    </w:p>
    <w:p w14:paraId="07F24424" w14:textId="1D563F68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1|pa1"/>
      <w:bookmarkEnd w:id="11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Măsurile prevăzute la art. 26-28 din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Ordonanţa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de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urgenţă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a Guvernului nr. </w:t>
      </w:r>
      <w:hyperlink r:id="rId12" w:tooltip="privind reglementarea unor măsuri, începând cu data de 15 mai 2020, în contextul situaţiei epidemiologice determinate de răspândirea coronavirusului SARS-CoV-2, pentru prelungirea unor termene, pentru modificarea şi completarea Legii nr. 227/2015 privind Codul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  <w:lang w:eastAsia="ro-RO"/>
          </w:rPr>
          <w:t>70/2020</w:t>
        </w:r>
      </w:hyperlink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privind reglementarea unor măsuri, începând cu data de 15 mai 2020, în contextul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situaţiei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epidemiologice determinate de răspândirea coronavirusului SARS-CoV-2, pentru prelungirea unor termene, pentru modificarea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completarea Legii nr. </w:t>
      </w:r>
      <w:hyperlink r:id="rId13" w:tooltip="privind Codul fiscal (act publicat in M.Of. 688 din 10-sep-2015)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  <w:lang w:eastAsia="ro-RO"/>
          </w:rPr>
          <w:t>227/2015</w:t>
        </w:r>
      </w:hyperlink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privind </w:t>
      </w:r>
      <w:hyperlink r:id="rId14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  <w:lang w:eastAsia="ro-RO"/>
          </w:rPr>
          <w:t>Codul fiscal</w:t>
        </w:r>
      </w:hyperlink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, a Legii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educaţiei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naţionale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nr. </w:t>
      </w:r>
      <w:hyperlink r:id="rId15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  <w:lang w:eastAsia="ro-RO"/>
          </w:rPr>
          <w:t>1/2011</w:t>
        </w:r>
      </w:hyperlink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, precum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a altor acte normative, aprobată cu modificări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completări prin Legea nr. </w:t>
      </w:r>
      <w:hyperlink r:id="rId16" w:tooltip="pentru aprobarea Ordonanţei de urgenţă a Guvernului nr. 70/2020 privind reglementarea unor măsuri, începând cu data de 15 mai 2020, în contextul situaţiei epidemiologice determinate de răspândirea coronavirusului SARS-CoV-2, pentru prelungirea unor termene, pe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  <w:lang w:eastAsia="ro-RO"/>
          </w:rPr>
          <w:t>179/2020</w:t>
        </w:r>
      </w:hyperlink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, cu modificările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completările ulterioare, se aplică pe durata stării de alertă, precum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un an după încetarea acesteia.</w:t>
      </w:r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br/>
      </w:r>
      <w:r w:rsidRPr="00F440C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  <w:lang w:eastAsia="ro-RO"/>
        </w:rPr>
        <w:drawing>
          <wp:inline distT="0" distB="0" distL="0" distR="0" wp14:anchorId="407F3161" wp14:editId="16B79EDD">
            <wp:extent cx="85725" cy="85725"/>
            <wp:effectExtent l="0" t="0" r="9525" b="952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607_0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C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  <w:lang w:eastAsia="ro-RO"/>
        </w:rPr>
        <w:t xml:space="preserve">(la data 23-iul-2021 Art. 1 modificat de Art. 1, punctul 1. din </w:t>
      </w:r>
      <w:hyperlink r:id="rId17" w:anchor="do|ar1|pt1" w:history="1">
        <w:r w:rsidRPr="00F440C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  <w:lang w:eastAsia="ro-RO"/>
          </w:rPr>
          <w:t>Legea 206/2021</w:t>
        </w:r>
      </w:hyperlink>
      <w:r w:rsidRPr="00F440C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  <w:lang w:eastAsia="ro-RO"/>
        </w:rPr>
        <w:t xml:space="preserve"> )</w:t>
      </w:r>
    </w:p>
    <w:p w14:paraId="742CD0E6" w14:textId="4EDAAE08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2"/>
      <w:r w:rsidRPr="00F440CD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A962B48" wp14:editId="0187B941">
            <wp:extent cx="95250" cy="95250"/>
            <wp:effectExtent l="0" t="0" r="0" b="0"/>
            <wp:docPr id="4" name="Imagin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  <w:r w:rsidRPr="00F440CD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7656EDC1" w14:textId="77777777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2|al1"/>
      <w:bookmarkEnd w:id="13"/>
      <w:r w:rsidRPr="00F440CD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F440CD">
        <w:rPr>
          <w:rFonts w:ascii="Verdana" w:eastAsia="Times New Roman" w:hAnsi="Verdana" w:cs="Times New Roman"/>
          <w:lang w:eastAsia="ro-RO"/>
        </w:rPr>
        <w:t xml:space="preserve">Dacă societatea nu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la sediul social sau la sediile secundare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declarate o perioadă de maximum 3 ani,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pe propria răspundere prevăzută la art. 17 alin. (6) din Legea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societăţilor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nr. </w:t>
      </w:r>
      <w:hyperlink r:id="rId18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31/1990</w:t>
        </w:r>
      </w:hyperlink>
      <w:r w:rsidRPr="00F440CD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completările ulterioare, este considerată inclusă în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pe propria răspundere prevăzută de art. 15 alin. (1) lit. a) din Legea nr. </w:t>
      </w:r>
      <w:hyperlink r:id="rId19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F440CD">
        <w:rPr>
          <w:rFonts w:ascii="Verdana" w:eastAsia="Times New Roman" w:hAnsi="Verdana" w:cs="Times New Roman"/>
          <w:lang w:eastAsia="ro-RO"/>
        </w:rPr>
        <w:t xml:space="preserve"> privind simplificarea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formalităţilor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la înregistrarea în registrul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a persoanelor fizice,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asociaţiilor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familiale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persoanelor juridice, înregistrarea fiscală a acestora, precum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la autorizarea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funcţionării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persoanelor juridice, cu modificările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7FEBFC05" w14:textId="77777777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2|al2"/>
      <w:bookmarkEnd w:id="14"/>
      <w:r w:rsidRPr="00F440CD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F440CD">
        <w:rPr>
          <w:rFonts w:ascii="Verdana" w:eastAsia="Times New Roman" w:hAnsi="Verdana" w:cs="Times New Roman"/>
          <w:lang w:eastAsia="ro-RO"/>
        </w:rPr>
        <w:t xml:space="preserve">Dacă societatea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activitate în afara sediului social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a sediilor secundare,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pe propria răspundere prevăzută la art. 17 alin. (6) din </w:t>
      </w:r>
      <w:r w:rsidRPr="00F440CD">
        <w:rPr>
          <w:rFonts w:ascii="Verdana" w:eastAsia="Times New Roman" w:hAnsi="Verdana" w:cs="Times New Roman"/>
          <w:lang w:eastAsia="ro-RO"/>
        </w:rPr>
        <w:lastRenderedPageBreak/>
        <w:t xml:space="preserve">Legea nr. </w:t>
      </w:r>
      <w:hyperlink r:id="rId20" w:tooltip="societăţilor - Republicare (act publicat in M.Of. 1066 din 17-noi-2004)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31/1990</w:t>
        </w:r>
      </w:hyperlink>
      <w:r w:rsidRPr="00F440CD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completările ulterioare, este considerată inclusă în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pe propria răspundere prevăzută de art. 15 alin. (1) lit. b) din Legea nr. </w:t>
      </w:r>
      <w:hyperlink r:id="rId21" w:tooltip="privind simplificarea formalităţilor la înregistrarea în registrul comerţului a persoanelor fizice, asociaţiilor familiale şi persoanelor juridice, înregistrarea fiscală a acestora, precum şi la autorizarea funcţionării persoanelor juridice (act publicat in M.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F440CD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F440CD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1B305636" w14:textId="729DF20A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3"/>
      <w:r w:rsidRPr="00F440CD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E074937" wp14:editId="659DD269">
            <wp:extent cx="95250" cy="95250"/>
            <wp:effectExtent l="0" t="0" r="0" b="0"/>
            <wp:docPr id="3" name="Imagin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  <w:r w:rsidRPr="00F440CD">
        <w:rPr>
          <w:rFonts w:ascii="Verdana" w:eastAsia="Times New Roman" w:hAnsi="Verdana" w:cs="Times New Roman"/>
          <w:b/>
          <w:bCs/>
          <w:color w:val="0000AF"/>
          <w:shd w:val="clear" w:color="auto" w:fill="D3D3D3"/>
          <w:lang w:eastAsia="ro-RO"/>
        </w:rPr>
        <w:t>Art. 3</w:t>
      </w:r>
    </w:p>
    <w:p w14:paraId="28681BFA" w14:textId="77777777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3|pa1"/>
      <w:bookmarkEnd w:id="16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La articolul 17 din Legea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societăţilor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nr. </w:t>
      </w:r>
      <w:hyperlink r:id="rId22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  <w:lang w:eastAsia="ro-RO"/>
          </w:rPr>
          <w:t>31/1990</w:t>
        </w:r>
      </w:hyperlink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, republicată în Monitorul Oficial al României, Partea I, nr. 1.066 din 17 noiembrie 2004, cu modificările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completările ulterioare, alineatele (3)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(5) se abrogă.</w:t>
      </w:r>
    </w:p>
    <w:p w14:paraId="3D060ECD" w14:textId="54B88E63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4"/>
      <w:r w:rsidRPr="00F440CD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8909794" wp14:editId="1DC975CA">
            <wp:extent cx="95250" cy="95250"/>
            <wp:effectExtent l="0" t="0" r="0" b="0"/>
            <wp:docPr id="2" name="Imagin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  <w:r w:rsidRPr="00F440CD">
        <w:rPr>
          <w:rFonts w:ascii="Verdana" w:eastAsia="Times New Roman" w:hAnsi="Verdana" w:cs="Times New Roman"/>
          <w:b/>
          <w:bCs/>
          <w:color w:val="0000AF"/>
          <w:shd w:val="clear" w:color="auto" w:fill="D3D3D3"/>
          <w:lang w:eastAsia="ro-RO"/>
        </w:rPr>
        <w:t>Art. 4</w:t>
      </w:r>
    </w:p>
    <w:p w14:paraId="2C72A52B" w14:textId="77777777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r4|pa1"/>
      <w:bookmarkEnd w:id="18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La articolul 17</w:t>
      </w:r>
      <w:r w:rsidRPr="00F440CD">
        <w:rPr>
          <w:rFonts w:ascii="Verdana" w:eastAsia="Times New Roman" w:hAnsi="Verdana" w:cs="Times New Roman"/>
          <w:shd w:val="clear" w:color="auto" w:fill="D3D3D3"/>
          <w:vertAlign w:val="superscript"/>
          <w:lang w:eastAsia="ro-RO"/>
        </w:rPr>
        <w:t>2</w:t>
      </w:r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din Legea nr. </w:t>
      </w:r>
      <w:hyperlink r:id="rId23" w:history="1">
        <w:r w:rsidRPr="00F440CD">
          <w:rPr>
            <w:rFonts w:ascii="Verdana" w:eastAsia="Times New Roman" w:hAnsi="Verdana" w:cs="Times New Roman"/>
            <w:b/>
            <w:bCs/>
            <w:color w:val="333399"/>
            <w:u w:val="single"/>
            <w:shd w:val="clear" w:color="auto" w:fill="D3D3D3"/>
            <w:lang w:eastAsia="ro-RO"/>
          </w:rPr>
          <w:t>359/2004</w:t>
        </w:r>
      </w:hyperlink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privind simplificarea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formalităţilor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la înregistrarea în registrul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a persoanelor fizice,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asociaţiilor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familiale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persoanelor juridice, înregistrarea fiscală a acestora, precum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la autorizarea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funcţionării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persoanelor juridice, publicată în Monitorul Oficial al României, Partea I, nr. 839 din 13 septembrie 2004, cu modificările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completările ulterioare, alineatul (1) se modifică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va avea următorul cuprins:</w:t>
      </w:r>
    </w:p>
    <w:p w14:paraId="45371C2B" w14:textId="77777777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r4|pa2"/>
      <w:bookmarkEnd w:id="19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"- Art. 17</w:t>
      </w:r>
      <w:r w:rsidRPr="00F440CD">
        <w:rPr>
          <w:rFonts w:ascii="Verdana" w:eastAsia="Times New Roman" w:hAnsi="Verdana" w:cs="Times New Roman"/>
          <w:shd w:val="clear" w:color="auto" w:fill="D3D3D3"/>
          <w:vertAlign w:val="superscript"/>
          <w:lang w:eastAsia="ro-RO"/>
        </w:rPr>
        <w:t>2</w:t>
      </w:r>
    </w:p>
    <w:p w14:paraId="11397905" w14:textId="77777777" w:rsidR="00E82342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hd w:val="clear" w:color="auto" w:fill="D3D3D3"/>
          <w:lang w:eastAsia="ro-RO"/>
        </w:rPr>
      </w:pPr>
      <w:bookmarkStart w:id="20" w:name="do|ar4|pa3"/>
      <w:bookmarkEnd w:id="20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(1)În vederea efectuării controlului de către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autorităţile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/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instituţiile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publice competente în domeniul autorizării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funcţionării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a verificării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conformităţii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celor declarate, oficiul registrului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transmite acestora, pe cale electronică,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informaţii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din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declaraţiile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-tip pe propria răspundere cu privire la îndeplinirea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condiţiilor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de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funcţionare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/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desfăşurare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a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activităţii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la sediul social/profesional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/sau sedii secundare sau, după caz, la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terţi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şi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 xml:space="preserve"> datele de identificare a persoanelor înregistrate, în termen de 3 zile lucrătoare de la data înregistrării în registrul </w:t>
      </w:r>
      <w:proofErr w:type="spellStart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comerţului</w:t>
      </w:r>
      <w:proofErr w:type="spellEnd"/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t>."</w:t>
      </w:r>
    </w:p>
    <w:p w14:paraId="6E406447" w14:textId="09515BC0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F440CD">
        <w:rPr>
          <w:rFonts w:ascii="Verdana" w:eastAsia="Times New Roman" w:hAnsi="Verdana" w:cs="Times New Roman"/>
          <w:shd w:val="clear" w:color="auto" w:fill="D3D3D3"/>
          <w:lang w:eastAsia="ro-RO"/>
        </w:rPr>
        <w:br/>
      </w:r>
      <w:r w:rsidRPr="00F440CD"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  <w:shd w:val="clear" w:color="auto" w:fill="D3D3D3"/>
          <w:lang w:eastAsia="ro-RO"/>
        </w:rPr>
        <w:drawing>
          <wp:inline distT="0" distB="0" distL="0" distR="0" wp14:anchorId="7E13BF03" wp14:editId="2CF7EAB8">
            <wp:extent cx="85725" cy="857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607_0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0C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  <w:lang w:eastAsia="ro-RO"/>
        </w:rPr>
        <w:t xml:space="preserve">(la data 23-iul-2021 Art. 2 completat de Art. 1, punctul 2. din </w:t>
      </w:r>
      <w:hyperlink r:id="rId24" w:anchor="do|ar1|pt2" w:history="1">
        <w:r w:rsidRPr="00F440CD">
          <w:rPr>
            <w:rFonts w:ascii="Verdana" w:eastAsia="Times New Roman" w:hAnsi="Verdana" w:cs="Times New Roman"/>
            <w:b/>
            <w:bCs/>
            <w:i/>
            <w:iCs/>
            <w:color w:val="333399"/>
            <w:sz w:val="18"/>
            <w:szCs w:val="18"/>
            <w:u w:val="single"/>
            <w:shd w:val="clear" w:color="auto" w:fill="FFFFFF"/>
            <w:lang w:eastAsia="ro-RO"/>
          </w:rPr>
          <w:t>Legea 206/2021</w:t>
        </w:r>
      </w:hyperlink>
      <w:r w:rsidRPr="00F440CD">
        <w:rPr>
          <w:rFonts w:ascii="Verdana" w:eastAsia="Times New Roman" w:hAnsi="Verdana" w:cs="Times New Roman"/>
          <w:i/>
          <w:iCs/>
          <w:color w:val="6666FF"/>
          <w:sz w:val="18"/>
          <w:szCs w:val="18"/>
          <w:shd w:val="clear" w:color="auto" w:fill="FFFFFF"/>
          <w:lang w:eastAsia="ro-RO"/>
        </w:rPr>
        <w:t xml:space="preserve"> )</w:t>
      </w:r>
    </w:p>
    <w:p w14:paraId="3753DCA6" w14:textId="77777777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pa9"/>
      <w:bookmarkEnd w:id="21"/>
      <w:r w:rsidRPr="00F440CD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F440CD" w:rsidRPr="00F440CD" w14:paraId="056B9983" w14:textId="77777777" w:rsidTr="00F440CD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274492AA" w14:textId="77777777" w:rsidR="00F440CD" w:rsidRPr="00F440CD" w:rsidRDefault="00F440CD" w:rsidP="00F440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2" w:name="do|pa10"/>
            <w:bookmarkEnd w:id="22"/>
            <w:r w:rsidRPr="00F440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14:paraId="0CBB4CBE" w14:textId="77777777" w:rsidR="00F440CD" w:rsidRPr="00F440CD" w:rsidRDefault="00F440CD" w:rsidP="00F440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440C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LUDOVIC ORBAN</w:t>
            </w:r>
          </w:p>
          <w:p w14:paraId="087BC55B" w14:textId="77777777" w:rsidR="00F440CD" w:rsidRPr="00F440CD" w:rsidRDefault="00F440CD" w:rsidP="00F440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440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Contrasemnează:</w:t>
            </w:r>
          </w:p>
          <w:p w14:paraId="0F4EED9B" w14:textId="77777777" w:rsidR="00F440CD" w:rsidRPr="00F440CD" w:rsidRDefault="00F440CD" w:rsidP="00F440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440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F440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justiţiei</w:t>
            </w:r>
            <w:proofErr w:type="spellEnd"/>
            <w:r w:rsidRPr="00F440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61FE19F7" w14:textId="77777777" w:rsidR="00F440CD" w:rsidRPr="00F440CD" w:rsidRDefault="00F440CD" w:rsidP="00F440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440C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Marian Cătălin </w:t>
            </w:r>
            <w:proofErr w:type="spellStart"/>
            <w:r w:rsidRPr="00F440C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Predoiu</w:t>
            </w:r>
            <w:proofErr w:type="spellEnd"/>
          </w:p>
          <w:p w14:paraId="6C36FD95" w14:textId="77777777" w:rsidR="00F440CD" w:rsidRPr="00F440CD" w:rsidRDefault="00F440CD" w:rsidP="00F440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440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F440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finanţelor</w:t>
            </w:r>
            <w:proofErr w:type="spellEnd"/>
            <w:r w:rsidRPr="00F440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publice,</w:t>
            </w:r>
          </w:p>
          <w:p w14:paraId="14AB29B4" w14:textId="77777777" w:rsidR="00F440CD" w:rsidRPr="00F440CD" w:rsidRDefault="00F440CD" w:rsidP="00F440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F440C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Vasile-Florin </w:t>
            </w:r>
            <w:proofErr w:type="spellStart"/>
            <w:r w:rsidRPr="00F440C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Cîţu</w:t>
            </w:r>
            <w:proofErr w:type="spellEnd"/>
          </w:p>
        </w:tc>
      </w:tr>
    </w:tbl>
    <w:p w14:paraId="0BECF622" w14:textId="77777777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pa11"/>
      <w:bookmarkEnd w:id="23"/>
      <w:r w:rsidRPr="00F440CD">
        <w:rPr>
          <w:rFonts w:ascii="Verdana" w:eastAsia="Times New Roman" w:hAnsi="Verdana" w:cs="Times New Roman"/>
          <w:lang w:eastAsia="ro-RO"/>
        </w:rPr>
        <w:t>Publicat în Monitorul Oficial cu numărul 1078 din data de 13 noiembrie 2020</w:t>
      </w:r>
    </w:p>
    <w:p w14:paraId="1CAB2B07" w14:textId="7B980F5F" w:rsidR="00F440CD" w:rsidRPr="00F440CD" w:rsidRDefault="00F440CD" w:rsidP="00F440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F440CD">
        <w:rPr>
          <w:rFonts w:ascii="Verdana" w:eastAsia="Times New Roman" w:hAnsi="Verdana" w:cs="Times New Roman"/>
          <w:lang w:eastAsia="ro-RO"/>
        </w:rPr>
        <w:br/>
      </w:r>
    </w:p>
    <w:p w14:paraId="0991523C" w14:textId="77777777" w:rsidR="00B76449" w:rsidRDefault="00B76449"/>
    <w:sectPr w:rsidR="00B7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27F2"/>
    <w:rsid w:val="000C27F2"/>
    <w:rsid w:val="00B76449"/>
    <w:rsid w:val="00E82342"/>
    <w:rsid w:val="00F4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E5A"/>
  <w15:chartTrackingRefBased/>
  <w15:docId w15:val="{111416D7-B2D9-4D3F-BDC6-D8159C8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F440CD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F440CD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F440CD"/>
  </w:style>
  <w:style w:type="character" w:customStyle="1" w:styleId="ara1">
    <w:name w:val="ar_a1"/>
    <w:basedOn w:val="Fontdeparagrafimplicit"/>
    <w:rsid w:val="00F440CD"/>
    <w:rPr>
      <w:b/>
      <w:bCs/>
      <w:strike/>
      <w:color w:val="DC143C"/>
      <w:sz w:val="22"/>
      <w:szCs w:val="22"/>
    </w:rPr>
  </w:style>
  <w:style w:type="character" w:customStyle="1" w:styleId="tpaa1">
    <w:name w:val="tpa_a1"/>
    <w:basedOn w:val="Fontdeparagrafimplicit"/>
    <w:rsid w:val="00F440CD"/>
    <w:rPr>
      <w:strike/>
      <w:color w:val="DC143C"/>
    </w:rPr>
  </w:style>
  <w:style w:type="character" w:customStyle="1" w:styleId="ar1">
    <w:name w:val="ar1"/>
    <w:basedOn w:val="Fontdeparagrafimplicit"/>
    <w:rsid w:val="00F440CD"/>
    <w:rPr>
      <w:b/>
      <w:bCs/>
      <w:color w:val="0000AF"/>
      <w:sz w:val="22"/>
      <w:szCs w:val="22"/>
    </w:rPr>
  </w:style>
  <w:style w:type="character" w:customStyle="1" w:styleId="lego1">
    <w:name w:val="lego1"/>
    <w:basedOn w:val="Fontdeparagrafimplicit"/>
    <w:rsid w:val="00F440CD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al1">
    <w:name w:val="al1"/>
    <w:basedOn w:val="Fontdeparagrafimplicit"/>
    <w:rsid w:val="00F440CD"/>
    <w:rPr>
      <w:b/>
      <w:bCs/>
      <w:color w:val="008F00"/>
    </w:rPr>
  </w:style>
  <w:style w:type="character" w:customStyle="1" w:styleId="tal1">
    <w:name w:val="tal1"/>
    <w:basedOn w:val="Fontdeparagrafimplicit"/>
    <w:rsid w:val="00F4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2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864866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3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2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790883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78880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5859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18911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87564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74549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62624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39970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909627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37727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007664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55097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0379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682561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63101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839002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8362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016237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15832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741794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187367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92765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037747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59906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33514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287413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35994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74981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98560\00209443.htm" TargetMode="External"/><Relationship Id="rId13" Type="http://schemas.openxmlformats.org/officeDocument/2006/relationships/hyperlink" Target="file:///C:\Users\user\sintact%204.0\cache\Legislatie\temp198560\00172813.htm" TargetMode="External"/><Relationship Id="rId18" Type="http://schemas.openxmlformats.org/officeDocument/2006/relationships/hyperlink" Target="file:///C:\Users\user\sintact%204.0\cache\Legislatie\temp198560\00078665.ht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sintact%204.0\cache\Legislatie\temp198560\00077024.htm" TargetMode="External"/><Relationship Id="rId7" Type="http://schemas.openxmlformats.org/officeDocument/2006/relationships/image" Target="media/image2.png"/><Relationship Id="rId12" Type="http://schemas.openxmlformats.org/officeDocument/2006/relationships/hyperlink" Target="file:///C:\Users\user\sintact%204.0\cache\Legislatie\temp198560\00209443.htm" TargetMode="External"/><Relationship Id="rId17" Type="http://schemas.openxmlformats.org/officeDocument/2006/relationships/hyperlink" Target="file:///C:\Users\user\sintact%204.0\cache\Legislatie\temp198560\00223607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sintact%204.0\cache\Legislatie\temp198560\00211800.htm" TargetMode="External"/><Relationship Id="rId20" Type="http://schemas.openxmlformats.org/officeDocument/2006/relationships/hyperlink" Target="file:///C:\Users\user\sintact%204.0\cache\Legislatie\temp198560\00078665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198560\00214498.HTML" TargetMode="External"/><Relationship Id="rId11" Type="http://schemas.openxmlformats.org/officeDocument/2006/relationships/hyperlink" Target="file:///C:\Users\user\sintact%204.0\cache\Legislatie\temp198560\00211800.htm" TargetMode="External"/><Relationship Id="rId24" Type="http://schemas.openxmlformats.org/officeDocument/2006/relationships/hyperlink" Target="file:///C:\Users\user\sintact%204.0\cache\Legislatie\temp198560\00223607.htm" TargetMode="External"/><Relationship Id="rId5" Type="http://schemas.openxmlformats.org/officeDocument/2006/relationships/hyperlink" Target="file:///C:\Users\user\sintact%204.0\cache\Legislatie\temp198560\00223607.htm" TargetMode="External"/><Relationship Id="rId15" Type="http://schemas.openxmlformats.org/officeDocument/2006/relationships/hyperlink" Target="file:///C:\Users\user\sintact%204.0\cache\Legislatie\temp198560\00137318.htm" TargetMode="External"/><Relationship Id="rId23" Type="http://schemas.openxmlformats.org/officeDocument/2006/relationships/hyperlink" Target="file:///C:\Users\user\sintact%204.0\cache\Legislatie\temp198560\00077024.htm" TargetMode="External"/><Relationship Id="rId10" Type="http://schemas.openxmlformats.org/officeDocument/2006/relationships/hyperlink" Target="file:///C:\Users\user\sintact%204.0\cache\Legislatie\temp198560\00137318.htm" TargetMode="External"/><Relationship Id="rId19" Type="http://schemas.openxmlformats.org/officeDocument/2006/relationships/hyperlink" Target="file:///C:\Users\user\sintact%204.0\cache\Legislatie\temp198560\00077024.htm" TargetMode="External"/><Relationship Id="rId4" Type="http://schemas.openxmlformats.org/officeDocument/2006/relationships/image" Target="media/image1.gif"/><Relationship Id="rId9" Type="http://schemas.openxmlformats.org/officeDocument/2006/relationships/hyperlink" Target="file:///C:\Users\user\sintact%204.0\cache\Legislatie\temp198560\00172813.htm" TargetMode="External"/><Relationship Id="rId14" Type="http://schemas.openxmlformats.org/officeDocument/2006/relationships/hyperlink" Target="file:///C:\Users\user\sintact%204.0\cache\Legislatie\temp198560\00172816.htm" TargetMode="External"/><Relationship Id="rId22" Type="http://schemas.openxmlformats.org/officeDocument/2006/relationships/hyperlink" Target="file:///C:\Users\user\sintact%204.0\cache\Legislatie\temp198560\0007866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1404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Stan</dc:creator>
  <cp:keywords/>
  <dc:description/>
  <cp:lastModifiedBy>Maria Stan</cp:lastModifiedBy>
  <cp:revision>3</cp:revision>
  <dcterms:created xsi:type="dcterms:W3CDTF">2022-03-08T12:00:00Z</dcterms:created>
  <dcterms:modified xsi:type="dcterms:W3CDTF">2022-03-08T12:03:00Z</dcterms:modified>
</cp:coreProperties>
</file>